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70" w:lineRule="exact"/>
        <w:jc w:val="left"/>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eastAsia="zh-CN"/>
        </w:rPr>
        <w:t>附件</w:t>
      </w:r>
      <w:r>
        <w:rPr>
          <w:rFonts w:hint="eastAsia" w:ascii="仿宋_GB2312" w:hAnsi="仿宋_GB2312" w:eastAsia="仿宋_GB2312" w:cs="仿宋_GB2312"/>
          <w:color w:val="000000"/>
          <w:kern w:val="0"/>
          <w:sz w:val="32"/>
          <w:szCs w:val="32"/>
          <w:lang w:val="en-US" w:eastAsia="zh-CN"/>
        </w:rPr>
        <w:t>2</w:t>
      </w:r>
    </w:p>
    <w:p>
      <w:pPr>
        <w:pStyle w:val="2"/>
        <w:rPr>
          <w:rFonts w:hint="default"/>
        </w:rPr>
      </w:pPr>
    </w:p>
    <w:p>
      <w:pPr>
        <w:spacing w:line="588" w:lineRule="exact"/>
        <w:jc w:val="center"/>
        <w:rPr>
          <w:rFonts w:hint="eastAsia" w:ascii="Times New Roman" w:hAnsi="Times New Roman" w:eastAsia="方正小标宋_GBK"/>
          <w:sz w:val="36"/>
          <w:szCs w:val="36"/>
          <w:lang w:eastAsia="zh-CN"/>
        </w:rPr>
      </w:pPr>
      <w:r>
        <w:rPr>
          <w:rFonts w:hint="default" w:ascii="Times New Roman" w:hAnsi="Times New Roman" w:eastAsia="方正小标宋_GBK"/>
          <w:sz w:val="36"/>
          <w:szCs w:val="36"/>
        </w:rPr>
        <w:t>《</w:t>
      </w:r>
      <w:r>
        <w:rPr>
          <w:rFonts w:hint="eastAsia" w:ascii="Times New Roman" w:hAnsi="Times New Roman" w:eastAsia="方正小标宋_GBK"/>
          <w:sz w:val="36"/>
          <w:szCs w:val="36"/>
          <w:lang w:eastAsia="zh-CN"/>
        </w:rPr>
        <w:t>行政</w:t>
      </w:r>
      <w:r>
        <w:rPr>
          <w:rFonts w:hint="default" w:ascii="Times New Roman" w:hAnsi="Times New Roman" w:eastAsia="方正小标宋_GBK"/>
          <w:sz w:val="36"/>
          <w:szCs w:val="36"/>
          <w:lang w:eastAsia="zh-CN"/>
        </w:rPr>
        <w:t>单位财务规则</w:t>
      </w:r>
      <w:r>
        <w:rPr>
          <w:rFonts w:hint="eastAsia" w:ascii="Times New Roman" w:hAnsi="Times New Roman" w:eastAsia="方正小标宋_GBK"/>
          <w:sz w:val="36"/>
          <w:szCs w:val="36"/>
          <w:lang w:eastAsia="zh-CN"/>
        </w:rPr>
        <w:t>（征求意见稿）</w:t>
      </w:r>
      <w:r>
        <w:rPr>
          <w:rFonts w:hint="default" w:ascii="Times New Roman" w:hAnsi="Times New Roman" w:eastAsia="方正小标宋_GBK"/>
          <w:sz w:val="36"/>
          <w:szCs w:val="36"/>
        </w:rPr>
        <w:t>》</w:t>
      </w:r>
      <w:r>
        <w:rPr>
          <w:rFonts w:hint="eastAsia" w:ascii="Times New Roman" w:hAnsi="Times New Roman" w:eastAsia="方正小标宋_GBK"/>
          <w:sz w:val="36"/>
          <w:szCs w:val="36"/>
          <w:lang w:eastAsia="zh-CN"/>
        </w:rPr>
        <w:t>起草</w:t>
      </w:r>
      <w:r>
        <w:rPr>
          <w:rFonts w:hint="default" w:ascii="Times New Roman" w:hAnsi="Times New Roman" w:eastAsia="方正小标宋_GBK"/>
          <w:sz w:val="36"/>
          <w:szCs w:val="36"/>
        </w:rPr>
        <w:t>说明</w:t>
      </w:r>
    </w:p>
    <w:p>
      <w:pPr>
        <w:rPr>
          <w:rFonts w:hint="default" w:ascii="Times New Roman" w:hAnsi="Times New Roman" w:eastAsia="仿宋_GB2312" w:cs="Times New Roman"/>
          <w:sz w:val="32"/>
          <w:szCs w:val="32"/>
          <w:lang w:val="en-US" w:eastAsia="zh-CN"/>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《行政单位财务规则》（财政部令第71号，以下简称现行规则）</w:t>
      </w:r>
      <w:r>
        <w:rPr>
          <w:rFonts w:hint="eastAsia" w:ascii="仿宋_GB2312" w:hAnsi="仿宋_GB2312" w:eastAsia="仿宋_GB2312" w:cs="仿宋_GB2312"/>
          <w:sz w:val="32"/>
          <w:szCs w:val="32"/>
        </w:rPr>
        <w:t>是我国财政制度体系的重要组成部分，是行政单位财务管理的基本依据。</w:t>
      </w:r>
      <w:r>
        <w:rPr>
          <w:rFonts w:hint="eastAsia" w:ascii="仿宋_GB2312" w:hAnsi="仿宋_GB2312" w:eastAsia="仿宋_GB2312" w:cs="仿宋_GB2312"/>
          <w:sz w:val="32"/>
          <w:szCs w:val="32"/>
          <w:lang w:val="en-US" w:eastAsia="zh-CN"/>
        </w:rPr>
        <w:t>现行规则</w:t>
      </w:r>
      <w:r>
        <w:rPr>
          <w:rFonts w:hint="eastAsia" w:ascii="仿宋_GB2312" w:hAnsi="仿宋_GB2312" w:eastAsia="仿宋_GB2312" w:cs="仿宋_GB2312"/>
          <w:sz w:val="32"/>
          <w:szCs w:val="32"/>
          <w:lang w:eastAsia="zh-CN"/>
        </w:rPr>
        <w:t>自2013年1月1日起施行，对规范行政单位财务行为，加强行政</w:t>
      </w:r>
      <w:bookmarkStart w:id="0" w:name="_GoBack"/>
      <w:bookmarkEnd w:id="0"/>
      <w:r>
        <w:rPr>
          <w:rFonts w:hint="eastAsia" w:ascii="仿宋_GB2312" w:hAnsi="仿宋_GB2312" w:eastAsia="仿宋_GB2312" w:cs="仿宋_GB2312"/>
          <w:sz w:val="32"/>
          <w:szCs w:val="32"/>
          <w:lang w:eastAsia="zh-CN"/>
        </w:rPr>
        <w:t>单位财务管理和监督，保障行政单位运转，提高资金使用效益，发挥了重要作用。近年来，随着预算管理制度、政府会计制度、行政单位资产管理制度等多项改革的深入推进，</w:t>
      </w:r>
      <w:r>
        <w:rPr>
          <w:rFonts w:hint="eastAsia" w:ascii="仿宋_GB2312" w:hAnsi="仿宋_GB2312" w:eastAsia="仿宋_GB2312" w:cs="仿宋_GB2312"/>
          <w:sz w:val="32"/>
          <w:szCs w:val="32"/>
          <w:lang w:val="en" w:eastAsia="zh-CN"/>
        </w:rPr>
        <w:t>现行规则</w:t>
      </w:r>
      <w:r>
        <w:rPr>
          <w:rFonts w:hint="eastAsia" w:ascii="仿宋_GB2312" w:hAnsi="仿宋_GB2312" w:eastAsia="仿宋_GB2312" w:cs="仿宋_GB2312"/>
          <w:sz w:val="32"/>
          <w:szCs w:val="32"/>
          <w:lang w:eastAsia="zh-CN"/>
        </w:rPr>
        <w:t>需要同步修改完善，特别是要与上位制度保持衔接，以满足规范和加强行政单位财务管理的需要。</w:t>
      </w:r>
      <w:r>
        <w:rPr>
          <w:rFonts w:hint="eastAsia" w:ascii="仿宋_GB2312" w:hAnsi="仿宋_GB2312" w:eastAsia="仿宋_GB2312" w:cs="仿宋_GB2312"/>
          <w:sz w:val="32"/>
          <w:szCs w:val="32"/>
          <w:lang w:val="en-US" w:eastAsia="zh-CN"/>
        </w:rPr>
        <w:t>为此，经前期广泛调研和深入研究，我们修订形成了《行政单位财务规则（征求意见稿）》（以下简称《征求意见稿》）。</w:t>
      </w:r>
    </w:p>
    <w:p>
      <w:pPr>
        <w:numPr>
          <w:ilvl w:val="0"/>
          <w:numId w:val="1"/>
        </w:numPr>
        <w:ind w:firstLine="630"/>
        <w:outlineLvl w:val="0"/>
        <w:rPr>
          <w:rFonts w:ascii="黑体" w:hAnsi="黑体" w:eastAsia="黑体"/>
          <w:sz w:val="32"/>
          <w:szCs w:val="32"/>
        </w:rPr>
      </w:pPr>
      <w:r>
        <w:rPr>
          <w:rFonts w:hint="eastAsia" w:ascii="黑体" w:hAnsi="黑体" w:eastAsia="黑体"/>
          <w:sz w:val="32"/>
          <w:szCs w:val="32"/>
        </w:rPr>
        <w:t>修订</w:t>
      </w:r>
      <w:r>
        <w:rPr>
          <w:rFonts w:hint="eastAsia" w:ascii="黑体" w:hAnsi="黑体" w:eastAsia="黑体"/>
          <w:sz w:val="32"/>
          <w:szCs w:val="32"/>
          <w:lang w:eastAsia="zh-CN"/>
        </w:rPr>
        <w:t>必要性</w:t>
      </w:r>
    </w:p>
    <w:p>
      <w:pPr>
        <w:keepNext w:val="0"/>
        <w:keepLines w:val="0"/>
        <w:pageBreakBefore w:val="0"/>
        <w:widowControl w:val="0"/>
        <w:numPr>
          <w:ilvl w:val="0"/>
          <w:numId w:val="0"/>
        </w:numPr>
        <w:kinsoku/>
        <w:wordWrap/>
        <w:overflowPunct/>
        <w:topLinePunct w:val="0"/>
        <w:autoSpaceDE/>
        <w:autoSpaceDN/>
        <w:bidi w:val="0"/>
        <w:adjustRightInd/>
        <w:spacing w:beforeLines="0" w:line="240" w:lineRule="auto"/>
        <w:textAlignment w:val="auto"/>
        <w:rPr>
          <w:rFonts w:hint="default" w:ascii="Times New Roman" w:hAnsi="Times New Roman" w:eastAsia="仿宋_GB2312" w:cs="Times New Roman"/>
          <w:kern w:val="0"/>
          <w:sz w:val="32"/>
          <w:szCs w:val="32"/>
          <w:lang w:val="en-US" w:eastAsia="zh-CN" w:bidi="ar"/>
        </w:rPr>
      </w:pPr>
      <w:r>
        <w:rPr>
          <w:rFonts w:hint="eastAsia" w:ascii="Times New Roman" w:hAnsi="Times New Roman" w:eastAsia="楷体_GB2312" w:cs="Times New Roman"/>
          <w:b/>
          <w:bCs/>
          <w:sz w:val="32"/>
          <w:szCs w:val="32"/>
          <w:lang w:val="en-US" w:eastAsia="zh-CN"/>
        </w:rPr>
        <w:t xml:space="preserve">    （一）</w:t>
      </w:r>
      <w:r>
        <w:rPr>
          <w:rFonts w:hint="default" w:ascii="Times New Roman" w:hAnsi="Times New Roman" w:eastAsia="楷体_GB2312" w:cs="Times New Roman"/>
          <w:b/>
          <w:bCs/>
          <w:sz w:val="32"/>
          <w:szCs w:val="32"/>
          <w:lang w:val="en-US" w:eastAsia="zh-CN"/>
        </w:rPr>
        <w:t>贯彻党中央关于加强财会监督有关部署</w:t>
      </w:r>
      <w:r>
        <w:rPr>
          <w:rFonts w:hint="eastAsia" w:ascii="Times New Roman" w:hAnsi="Times New Roman" w:eastAsia="楷体_GB2312" w:cs="Times New Roman"/>
          <w:b/>
          <w:bCs/>
          <w:sz w:val="32"/>
          <w:szCs w:val="32"/>
          <w:lang w:val="en-US" w:eastAsia="zh-CN"/>
        </w:rPr>
        <w:t>，</w:t>
      </w:r>
      <w:r>
        <w:rPr>
          <w:rFonts w:hint="eastAsia" w:ascii="楷体_GB2312" w:hAnsi="楷体_GB2312" w:eastAsia="楷体_GB2312" w:cs="楷体_GB2312"/>
          <w:b/>
          <w:bCs/>
          <w:sz w:val="32"/>
          <w:szCs w:val="32"/>
          <w:lang w:val="en-US" w:eastAsia="zh-CN"/>
        </w:rPr>
        <w:t>规范行政单位财务管理的要求</w:t>
      </w:r>
      <w:r>
        <w:rPr>
          <w:rFonts w:hint="default" w:ascii="Times New Roman" w:hAnsi="Times New Roman" w:eastAsia="楷体_GB2312" w:cs="Times New Roman"/>
          <w:b/>
          <w:bCs/>
          <w:sz w:val="32"/>
          <w:szCs w:val="32"/>
          <w:lang w:val="en-US" w:eastAsia="zh-CN"/>
        </w:rPr>
        <w:t>。</w:t>
      </w:r>
      <w:r>
        <w:rPr>
          <w:rFonts w:hint="default" w:ascii="Times New Roman" w:hAnsi="Times New Roman" w:eastAsia="仿宋_GB2312" w:cs="Times New Roman"/>
          <w:b w:val="0"/>
          <w:bCs w:val="0"/>
          <w:kern w:val="0"/>
          <w:sz w:val="32"/>
          <w:szCs w:val="32"/>
          <w:lang w:val="en-US" w:eastAsia="zh-CN" w:bidi="ar"/>
        </w:rPr>
        <w:t>习近平总书记在十九届中央纪委四次全会上将财会监督明确为党和国家监督体系的重要组成部分，</w:t>
      </w:r>
      <w:r>
        <w:rPr>
          <w:rFonts w:hint="eastAsia" w:ascii="Times New Roman" w:hAnsi="Times New Roman" w:eastAsia="仿宋_GB2312" w:cs="Times New Roman"/>
          <w:b w:val="0"/>
          <w:bCs w:val="0"/>
          <w:kern w:val="0"/>
          <w:sz w:val="32"/>
          <w:szCs w:val="32"/>
          <w:lang w:val="en-US" w:eastAsia="zh-CN" w:bidi="ar"/>
        </w:rPr>
        <w:t>为积极推动党中央部署落地见效，有必要</w:t>
      </w:r>
      <w:r>
        <w:rPr>
          <w:rFonts w:hint="eastAsia" w:ascii="Times New Roman" w:hAnsi="Times New Roman" w:eastAsia="仿宋_GB2312"/>
          <w:kern w:val="0"/>
          <w:sz w:val="32"/>
          <w:szCs w:val="32"/>
          <w:lang w:bidi="ar"/>
        </w:rPr>
        <w:t>进一步</w:t>
      </w:r>
      <w:r>
        <w:rPr>
          <w:rFonts w:hint="eastAsia" w:ascii="Times New Roman" w:hAnsi="Times New Roman" w:eastAsia="仿宋_GB2312"/>
          <w:kern w:val="0"/>
          <w:sz w:val="32"/>
          <w:szCs w:val="32"/>
          <w:lang w:eastAsia="zh-CN" w:bidi="ar"/>
        </w:rPr>
        <w:t>完善</w:t>
      </w:r>
      <w:r>
        <w:rPr>
          <w:rFonts w:hint="eastAsia" w:ascii="Times New Roman" w:hAnsi="Times New Roman" w:eastAsia="仿宋_GB2312"/>
          <w:kern w:val="0"/>
          <w:sz w:val="32"/>
          <w:szCs w:val="32"/>
          <w:lang w:bidi="ar"/>
        </w:rPr>
        <w:t>财务制度，规范财务</w:t>
      </w:r>
      <w:r>
        <w:rPr>
          <w:rFonts w:hint="eastAsia" w:ascii="Times New Roman" w:hAnsi="Times New Roman" w:eastAsia="仿宋_GB2312"/>
          <w:kern w:val="0"/>
          <w:sz w:val="32"/>
          <w:szCs w:val="32"/>
          <w:lang w:eastAsia="zh-CN" w:bidi="ar"/>
        </w:rPr>
        <w:t>行为</w:t>
      </w:r>
      <w:r>
        <w:rPr>
          <w:rFonts w:hint="eastAsia" w:ascii="Times New Roman" w:hAnsi="Times New Roman" w:eastAsia="仿宋_GB2312"/>
          <w:kern w:val="0"/>
          <w:sz w:val="32"/>
          <w:szCs w:val="32"/>
          <w:lang w:bidi="ar"/>
        </w:rPr>
        <w:t>，强化预算</w:t>
      </w:r>
      <w:r>
        <w:rPr>
          <w:rFonts w:hint="eastAsia" w:ascii="Times New Roman" w:hAnsi="Times New Roman" w:eastAsia="仿宋_GB2312"/>
          <w:kern w:val="0"/>
          <w:sz w:val="32"/>
          <w:szCs w:val="32"/>
          <w:lang w:eastAsia="zh-CN" w:bidi="ar"/>
        </w:rPr>
        <w:t>和资产管理</w:t>
      </w:r>
      <w:r>
        <w:rPr>
          <w:rFonts w:hint="eastAsia" w:ascii="Times New Roman" w:hAnsi="Times New Roman" w:eastAsia="仿宋_GB2312"/>
          <w:kern w:val="0"/>
          <w:sz w:val="32"/>
          <w:szCs w:val="32"/>
          <w:lang w:bidi="ar"/>
        </w:rPr>
        <w:t>，</w:t>
      </w:r>
      <w:r>
        <w:rPr>
          <w:rFonts w:hint="eastAsia" w:ascii="Times New Roman" w:hAnsi="Times New Roman" w:eastAsia="仿宋_GB2312"/>
          <w:kern w:val="0"/>
          <w:sz w:val="32"/>
          <w:szCs w:val="32"/>
          <w:lang w:eastAsia="zh-CN" w:bidi="ar"/>
        </w:rPr>
        <w:t>提升绩效管理水平，</w:t>
      </w:r>
      <w:r>
        <w:rPr>
          <w:rFonts w:hint="eastAsia" w:ascii="Times New Roman" w:hAnsi="Times New Roman" w:eastAsia="仿宋_GB2312" w:cs="Times New Roman"/>
          <w:kern w:val="0"/>
          <w:sz w:val="32"/>
          <w:szCs w:val="32"/>
          <w:lang w:val="en-US" w:eastAsia="zh-CN" w:bidi="ar"/>
        </w:rPr>
        <w:t>防范财务风险，保障行政单位更好地履行职能</w:t>
      </w:r>
      <w:r>
        <w:rPr>
          <w:rFonts w:hint="default" w:ascii="Times New Roman" w:hAnsi="Times New Roman" w:eastAsia="仿宋_GB2312" w:cs="Times New Roman"/>
          <w:kern w:val="0"/>
          <w:sz w:val="32"/>
          <w:szCs w:val="32"/>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pacing w:beforeLines="0" w:line="240" w:lineRule="auto"/>
        <w:textAlignment w:val="auto"/>
        <w:rPr>
          <w:rFonts w:hint="eastAsia" w:ascii="仿宋_GB2312" w:hAnsi="仿宋_GB2312" w:eastAsia="仿宋_GB2312" w:cs="仿宋_GB2312"/>
          <w:sz w:val="32"/>
          <w:szCs w:val="32"/>
          <w:lang w:val="en-US" w:eastAsia="zh-CN"/>
        </w:rPr>
      </w:pPr>
      <w:r>
        <w:rPr>
          <w:rFonts w:hint="eastAsia" w:ascii="Times New Roman" w:hAnsi="Times New Roman" w:eastAsia="楷体_GB2312" w:cs="Times New Roman"/>
          <w:b/>
          <w:bCs/>
          <w:sz w:val="32"/>
          <w:szCs w:val="32"/>
          <w:lang w:val="en-US" w:eastAsia="zh-CN"/>
        </w:rPr>
        <w:t xml:space="preserve">    （二）适应建立现代财政制度新形势，反映</w:t>
      </w:r>
      <w:r>
        <w:rPr>
          <w:rFonts w:hint="default" w:ascii="Times New Roman" w:hAnsi="Times New Roman" w:eastAsia="楷体_GB2312" w:cs="Times New Roman"/>
          <w:b/>
          <w:bCs/>
          <w:sz w:val="32"/>
          <w:szCs w:val="32"/>
          <w:lang w:val="en-US" w:eastAsia="zh-CN"/>
        </w:rPr>
        <w:t>财政改革</w:t>
      </w:r>
      <w:r>
        <w:rPr>
          <w:rFonts w:hint="eastAsia" w:ascii="Times New Roman" w:hAnsi="Times New Roman" w:eastAsia="楷体_GB2312" w:cs="Times New Roman"/>
          <w:b/>
          <w:bCs/>
          <w:sz w:val="32"/>
          <w:szCs w:val="32"/>
          <w:lang w:val="en-US" w:eastAsia="zh-CN"/>
        </w:rPr>
        <w:t>发展成果的要求</w:t>
      </w:r>
      <w:r>
        <w:rPr>
          <w:rFonts w:hint="default" w:ascii="Times New Roman" w:hAnsi="Times New Roman" w:eastAsia="楷体_GB2312" w:cs="Times New Roman"/>
          <w:b/>
          <w:bCs/>
          <w:sz w:val="32"/>
          <w:szCs w:val="32"/>
          <w:lang w:val="en-US" w:eastAsia="zh-CN"/>
        </w:rPr>
        <w:t>。</w:t>
      </w:r>
      <w:r>
        <w:rPr>
          <w:rFonts w:hint="eastAsia" w:ascii="仿宋_GB2312" w:hAnsi="仿宋_GB2312" w:eastAsia="仿宋_GB2312" w:cs="仿宋_GB2312"/>
          <w:kern w:val="0"/>
          <w:sz w:val="32"/>
          <w:szCs w:val="32"/>
          <w:lang w:val="en-US" w:eastAsia="zh-CN" w:bidi="ar"/>
        </w:rPr>
        <w:t>近十年</w:t>
      </w:r>
      <w:r>
        <w:rPr>
          <w:rFonts w:hint="eastAsia" w:ascii="仿宋_GB2312" w:hAnsi="仿宋_GB2312" w:eastAsia="仿宋_GB2312" w:cs="仿宋_GB2312"/>
          <w:sz w:val="32"/>
          <w:szCs w:val="32"/>
          <w:lang w:eastAsia="zh-CN"/>
        </w:rPr>
        <w:t>来，我国预算管理、绩效管理、国有资产管理等改革不断深入，</w:t>
      </w:r>
      <w:r>
        <w:rPr>
          <w:rFonts w:hint="eastAsia" w:ascii="仿宋_GB2312" w:hAnsi="仿宋_GB2312" w:eastAsia="仿宋_GB2312" w:cs="仿宋_GB2312"/>
          <w:b w:val="0"/>
          <w:bCs w:val="0"/>
          <w:sz w:val="32"/>
          <w:szCs w:val="32"/>
          <w:lang w:val="en-US" w:eastAsia="zh-CN"/>
        </w:rPr>
        <w:t>财政改革与发展取得了新成就。特别是2014年以来，</w:t>
      </w:r>
      <w:r>
        <w:rPr>
          <w:rFonts w:hint="eastAsia" w:ascii="仿宋_GB2312" w:hAnsi="仿宋_GB2312" w:eastAsia="仿宋_GB2312" w:cs="仿宋_GB2312"/>
          <w:bCs/>
          <w:sz w:val="32"/>
          <w:szCs w:val="32"/>
          <w:lang w:val="en-US" w:eastAsia="zh-CN"/>
        </w:rPr>
        <w:t>修订的</w:t>
      </w:r>
      <w:r>
        <w:rPr>
          <w:rFonts w:hint="eastAsia" w:ascii="仿宋_GB2312" w:hAnsi="仿宋_GB2312" w:eastAsia="仿宋_GB2312" w:cs="仿宋_GB2312"/>
          <w:sz w:val="32"/>
          <w:szCs w:val="32"/>
          <w:lang w:eastAsia="zh-CN"/>
        </w:rPr>
        <w:t>《中华人民共和国预算法》、</w:t>
      </w:r>
      <w:r>
        <w:rPr>
          <w:rFonts w:hint="eastAsia" w:ascii="仿宋_GB2312" w:hAnsi="仿宋_GB2312" w:eastAsia="仿宋_GB2312" w:cs="仿宋_GB2312"/>
          <w:bCs/>
          <w:sz w:val="32"/>
          <w:szCs w:val="32"/>
          <w:lang w:val="en-US" w:eastAsia="zh-CN"/>
        </w:rPr>
        <w:t>《中华人民共和国预算法实施条例》（国务院令第729号），新出台的</w:t>
      </w:r>
      <w:r>
        <w:rPr>
          <w:rFonts w:hint="eastAsia" w:ascii="仿宋_GB2312" w:hAnsi="仿宋_GB2312" w:eastAsia="仿宋_GB2312" w:cs="仿宋_GB2312"/>
          <w:sz w:val="32"/>
          <w:szCs w:val="32"/>
          <w:lang w:val="en-US" w:eastAsia="zh-CN"/>
        </w:rPr>
        <w:t>《行政事业性国有资产管理条例》（国务院令第738号）</w:t>
      </w:r>
      <w:r>
        <w:rPr>
          <w:rFonts w:hint="eastAsia" w:ascii="仿宋_GB2312" w:hAnsi="仿宋_GB2312" w:eastAsia="仿宋_GB2312" w:cs="仿宋_GB2312"/>
          <w:kern w:val="0"/>
          <w:sz w:val="32"/>
          <w:szCs w:val="32"/>
          <w:lang w:val="en-US" w:eastAsia="zh-CN" w:bidi="ar"/>
        </w:rPr>
        <w:t>等重要财政法律法规陆续施行，对行政单位的财务管理提出新的要求。</w:t>
      </w:r>
      <w:r>
        <w:rPr>
          <w:rFonts w:hint="eastAsia" w:ascii="仿宋_GB2312" w:hAnsi="仿宋_GB2312" w:eastAsia="仿宋_GB2312" w:cs="仿宋_GB2312"/>
          <w:b w:val="0"/>
          <w:bCs w:val="0"/>
          <w:sz w:val="32"/>
          <w:szCs w:val="32"/>
          <w:lang w:val="en-US" w:eastAsia="zh-CN"/>
        </w:rPr>
        <w:t>因此，有必要结合财政改革发展成果对现行规则进行修订。</w:t>
      </w:r>
      <w:r>
        <w:rPr>
          <w:rFonts w:hint="eastAsia" w:ascii="仿宋_GB2312" w:hAnsi="仿宋_GB2312" w:eastAsia="仿宋_GB2312" w:cs="仿宋_GB2312"/>
          <w:kern w:val="0"/>
          <w:sz w:val="32"/>
          <w:szCs w:val="32"/>
          <w:lang w:val="en-US" w:eastAsia="zh-CN" w:bidi="ar"/>
        </w:rPr>
        <w:t xml:space="preserve"> </w:t>
      </w:r>
    </w:p>
    <w:p>
      <w:pPr>
        <w:keepNext w:val="0"/>
        <w:keepLines w:val="0"/>
        <w:pageBreakBefore w:val="0"/>
        <w:widowControl w:val="0"/>
        <w:kinsoku/>
        <w:wordWrap/>
        <w:overflowPunct/>
        <w:topLinePunct w:val="0"/>
        <w:autoSpaceDE/>
        <w:autoSpaceDN/>
        <w:bidi w:val="0"/>
        <w:adjustRightInd/>
        <w:spacing w:beforeLines="0" w:line="240" w:lineRule="auto"/>
        <w:ind w:firstLine="640"/>
        <w:textAlignment w:val="auto"/>
        <w:rPr>
          <w:rFonts w:hint="default" w:ascii="Times New Roman" w:hAnsi="Times New Roman" w:eastAsia="仿宋_GB2312" w:cs="Times New Roman"/>
          <w:kern w:val="2"/>
          <w:sz w:val="32"/>
          <w:szCs w:val="32"/>
        </w:rPr>
      </w:pPr>
      <w:r>
        <w:rPr>
          <w:rFonts w:hint="eastAsia" w:ascii="Times New Roman" w:hAnsi="Times New Roman" w:eastAsia="楷体_GB2312" w:cs="Times New Roman"/>
          <w:b/>
          <w:bCs/>
          <w:sz w:val="32"/>
          <w:szCs w:val="32"/>
          <w:lang w:val="en-US" w:eastAsia="zh-CN"/>
        </w:rPr>
        <w:t>（三）服务政府综合财务报告制度改革，衔接政府会计准则</w:t>
      </w:r>
      <w:r>
        <w:rPr>
          <w:rFonts w:hint="default" w:ascii="Times New Roman" w:hAnsi="Times New Roman" w:eastAsia="楷体_GB2312" w:cs="Times New Roman"/>
          <w:b/>
          <w:bCs/>
          <w:sz w:val="32"/>
          <w:szCs w:val="32"/>
          <w:lang w:val="en-US" w:eastAsia="zh-CN"/>
        </w:rPr>
        <w:t>制度</w:t>
      </w:r>
      <w:r>
        <w:rPr>
          <w:rFonts w:hint="eastAsia" w:ascii="Times New Roman" w:hAnsi="Times New Roman" w:eastAsia="楷体_GB2312" w:cs="Times New Roman"/>
          <w:b/>
          <w:bCs/>
          <w:sz w:val="32"/>
          <w:szCs w:val="32"/>
          <w:lang w:val="en-US" w:eastAsia="zh-CN"/>
        </w:rPr>
        <w:t>的要求</w:t>
      </w:r>
      <w:r>
        <w:rPr>
          <w:rFonts w:hint="default" w:ascii="Times New Roman" w:hAnsi="Times New Roman" w:eastAsia="楷体_GB2312" w:cs="Times New Roman"/>
          <w:b/>
          <w:bCs/>
          <w:sz w:val="32"/>
          <w:szCs w:val="32"/>
          <w:lang w:val="en-US" w:eastAsia="zh-CN"/>
        </w:rPr>
        <w:t>。</w:t>
      </w:r>
      <w:r>
        <w:rPr>
          <w:rFonts w:hint="eastAsia" w:ascii="仿宋_GB2312" w:hAnsi="仿宋_GB2312" w:eastAsia="仿宋_GB2312" w:cs="仿宋_GB2312"/>
          <w:sz w:val="32"/>
          <w:szCs w:val="32"/>
          <w:lang w:val="en-US" w:eastAsia="zh-CN"/>
        </w:rPr>
        <w:t>2014</w:t>
      </w:r>
      <w:r>
        <w:rPr>
          <w:rFonts w:hint="eastAsia" w:ascii="Times New Roman" w:hAnsi="Times New Roman" w:eastAsia="仿宋_GB2312" w:cs="Times New Roman"/>
          <w:sz w:val="32"/>
          <w:szCs w:val="32"/>
          <w:lang w:val="en-US" w:eastAsia="zh-CN"/>
        </w:rPr>
        <w:t>年，</w:t>
      </w:r>
      <w:r>
        <w:rPr>
          <w:rFonts w:hint="eastAsia" w:ascii="仿宋_GB2312" w:hAnsi="仿宋_GB2312" w:eastAsia="仿宋_GB2312" w:cs="仿宋_GB2312"/>
          <w:b w:val="0"/>
          <w:bCs w:val="0"/>
          <w:i w:val="0"/>
          <w:color w:val="000000"/>
          <w:kern w:val="0"/>
          <w:sz w:val="32"/>
          <w:szCs w:val="32"/>
          <w:highlight w:val="none"/>
          <w:u w:val="none"/>
          <w:lang w:val="en-US" w:eastAsia="zh-CN" w:bidi="ar"/>
        </w:rPr>
        <w:t>《国务院关于批转财政部权责发生制政府综合财务报告制度改革方案的通知》</w:t>
      </w:r>
      <w:r>
        <w:rPr>
          <w:rFonts w:hint="eastAsia" w:ascii="仿宋_GB2312" w:hAnsi="仿宋_GB2312" w:eastAsia="仿宋_GB2312" w:cs="仿宋_GB2312"/>
          <w:sz w:val="32"/>
          <w:szCs w:val="32"/>
          <w:lang w:eastAsia="zh-CN"/>
        </w:rPr>
        <w:t>（国发〔2014〕63号），推行</w:t>
      </w:r>
      <w:r>
        <w:rPr>
          <w:rFonts w:hint="eastAsia" w:ascii="Times New Roman" w:hAnsi="Times New Roman" w:eastAsia="仿宋_GB2312" w:cs="Times New Roman"/>
          <w:sz w:val="32"/>
          <w:szCs w:val="32"/>
          <w:lang w:val="en-US" w:eastAsia="zh-CN"/>
        </w:rPr>
        <w:t>权责发生制的政府综合财务报告制度改革。与之配套，新的</w:t>
      </w:r>
      <w:r>
        <w:rPr>
          <w:rFonts w:hint="default" w:ascii="Times New Roman" w:hAnsi="Times New Roman" w:eastAsia="仿宋_GB2312" w:cs="Times New Roman"/>
          <w:sz w:val="32"/>
          <w:szCs w:val="32"/>
          <w:lang w:eastAsia="zh-CN"/>
        </w:rPr>
        <w:t>政府会计准则制度</w:t>
      </w:r>
      <w:r>
        <w:rPr>
          <w:rFonts w:hint="eastAsia" w:ascii="Times New Roman" w:hAnsi="Times New Roman" w:eastAsia="仿宋_GB2312" w:cs="Times New Roman"/>
          <w:sz w:val="32"/>
          <w:szCs w:val="32"/>
          <w:lang w:val="en-US" w:eastAsia="zh-CN"/>
        </w:rPr>
        <w:t>开始施行</w:t>
      </w:r>
      <w:r>
        <w:rPr>
          <w:rFonts w:hint="eastAsia" w:ascii="Times New Roman" w:hAnsi="Times New Roman" w:eastAsia="仿宋_GB2312" w:cs="Times New Roman"/>
          <w:sz w:val="32"/>
          <w:szCs w:val="32"/>
          <w:lang w:eastAsia="zh-CN"/>
        </w:rPr>
        <w:t>，明确</w:t>
      </w:r>
      <w:r>
        <w:rPr>
          <w:rFonts w:hint="eastAsia" w:ascii="仿宋_GB2312" w:eastAsia="仿宋_GB2312"/>
          <w:sz w:val="32"/>
          <w:szCs w:val="32"/>
        </w:rPr>
        <w:t>单位</w:t>
      </w:r>
      <w:r>
        <w:rPr>
          <w:rFonts w:hint="eastAsia" w:ascii="仿宋_GB2312" w:eastAsia="仿宋_GB2312"/>
          <w:sz w:val="32"/>
          <w:szCs w:val="32"/>
          <w:lang w:eastAsia="zh-CN"/>
        </w:rPr>
        <w:t>应当</w:t>
      </w:r>
      <w:r>
        <w:rPr>
          <w:rFonts w:hint="eastAsia" w:ascii="仿宋_GB2312" w:eastAsia="仿宋_GB2312"/>
          <w:sz w:val="32"/>
          <w:szCs w:val="32"/>
        </w:rPr>
        <w:t>同时设置财务会计账簿和预算会计账簿，分别按照权责发生制和收付实现制进行会计核算，构建“财务会计与预算会计适度分离又相互衔接”的会计核算模式</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现行规则中行政</w:t>
      </w:r>
      <w:r>
        <w:rPr>
          <w:rFonts w:hint="default" w:ascii="Times New Roman" w:hAnsi="Times New Roman" w:eastAsia="仿宋_GB2312" w:cs="Times New Roman"/>
          <w:sz w:val="32"/>
          <w:szCs w:val="32"/>
          <w:lang w:val="en-US" w:eastAsia="zh-CN"/>
        </w:rPr>
        <w:t>单位一般以收付实现制为核算基础</w:t>
      </w:r>
      <w:r>
        <w:rPr>
          <w:rFonts w:hint="eastAsia" w:ascii="Times New Roman" w:hAnsi="Times New Roman" w:eastAsia="仿宋_GB2312" w:cs="Times New Roman"/>
          <w:sz w:val="32"/>
          <w:szCs w:val="32"/>
          <w:lang w:val="en-US" w:eastAsia="zh-CN"/>
        </w:rPr>
        <w:t>等</w:t>
      </w:r>
      <w:r>
        <w:rPr>
          <w:rFonts w:hint="default" w:ascii="Times New Roman" w:hAnsi="Times New Roman" w:eastAsia="仿宋_GB2312" w:cs="Times New Roman"/>
          <w:sz w:val="32"/>
          <w:szCs w:val="32"/>
          <w:lang w:val="en-US" w:eastAsia="zh-CN"/>
        </w:rPr>
        <w:t>内容已经不能适应</w:t>
      </w:r>
      <w:r>
        <w:rPr>
          <w:rFonts w:hint="eastAsia" w:ascii="Times New Roman" w:hAnsi="Times New Roman" w:eastAsia="仿宋_GB2312" w:cs="Times New Roman"/>
          <w:sz w:val="32"/>
          <w:szCs w:val="32"/>
          <w:lang w:val="en-US" w:eastAsia="zh-CN"/>
        </w:rPr>
        <w:t>，有必要</w:t>
      </w:r>
      <w:r>
        <w:rPr>
          <w:rFonts w:hint="default" w:ascii="Times New Roman" w:hAnsi="Times New Roman" w:eastAsia="仿宋_GB2312" w:cs="Times New Roman"/>
          <w:sz w:val="32"/>
          <w:szCs w:val="32"/>
          <w:lang w:val="en-US" w:eastAsia="zh-CN"/>
        </w:rPr>
        <w:t>修改</w:t>
      </w:r>
      <w:r>
        <w:rPr>
          <w:rFonts w:hint="eastAsia" w:ascii="Times New Roman" w:hAnsi="Times New Roman" w:eastAsia="仿宋_GB2312" w:cs="Times New Roman"/>
          <w:sz w:val="32"/>
          <w:szCs w:val="32"/>
          <w:lang w:val="en-US" w:eastAsia="zh-CN"/>
        </w:rPr>
        <w:t>完善。</w:t>
      </w:r>
    </w:p>
    <w:p>
      <w:pPr>
        <w:keepNext w:val="0"/>
        <w:keepLines w:val="0"/>
        <w:pageBreakBefore w:val="0"/>
        <w:widowControl w:val="0"/>
        <w:numPr>
          <w:ilvl w:val="0"/>
          <w:numId w:val="0"/>
        </w:numPr>
        <w:kinsoku/>
        <w:wordWrap/>
        <w:overflowPunct/>
        <w:topLinePunct w:val="0"/>
        <w:autoSpaceDE/>
        <w:autoSpaceDN/>
        <w:bidi w:val="0"/>
        <w:spacing w:beforeLines="0" w:line="240" w:lineRule="auto"/>
        <w:ind w:left="640" w:leftChars="0"/>
        <w:textAlignment w:val="auto"/>
        <w:outlineLvl w:val="1"/>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二、修订的基本原则</w:t>
      </w:r>
    </w:p>
    <w:p>
      <w:pPr>
        <w:keepNext w:val="0"/>
        <w:keepLines w:val="0"/>
        <w:pageBreakBefore w:val="0"/>
        <w:widowControl w:val="0"/>
        <w:numPr>
          <w:ilvl w:val="0"/>
          <w:numId w:val="0"/>
        </w:numPr>
        <w:kinsoku/>
        <w:wordWrap/>
        <w:overflowPunct/>
        <w:topLinePunct w:val="0"/>
        <w:autoSpaceDE/>
        <w:autoSpaceDN/>
        <w:bidi w:val="0"/>
        <w:spacing w:beforeLines="0" w:line="240" w:lineRule="auto"/>
        <w:ind w:left="640" w:leftChars="0"/>
        <w:textAlignment w:val="auto"/>
        <w:outlineLvl w:val="1"/>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此次修订主要遵循以下原则：</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宋体" w:hAnsi="宋体" w:eastAsia="仿宋_GB2312" w:cs="仿宋_GB2312"/>
          <w:b w:val="0"/>
          <w:bCs w:val="0"/>
          <w:color w:val="auto"/>
          <w:sz w:val="32"/>
          <w:szCs w:val="32"/>
        </w:rPr>
      </w:pPr>
      <w:r>
        <w:rPr>
          <w:rFonts w:hint="eastAsia" w:ascii="楷体_GB2312" w:hAnsi="楷体_GB2312" w:eastAsia="楷体_GB2312" w:cs="楷体_GB2312"/>
          <w:b/>
          <w:bCs/>
          <w:sz w:val="32"/>
          <w:szCs w:val="32"/>
          <w:lang w:eastAsia="zh-CN"/>
        </w:rPr>
        <w:t>（一）坚持继承创新，突出问题导向。</w:t>
      </w:r>
      <w:r>
        <w:rPr>
          <w:rFonts w:hint="eastAsia" w:ascii="仿宋_GB2312" w:hAnsi="仿宋_GB2312" w:eastAsia="仿宋_GB2312" w:cs="仿宋_GB2312"/>
          <w:sz w:val="32"/>
          <w:szCs w:val="32"/>
          <w:lang w:eastAsia="zh-CN"/>
        </w:rPr>
        <w:t>现行规则的体系框架于</w:t>
      </w:r>
      <w:r>
        <w:rPr>
          <w:rFonts w:hint="eastAsia" w:ascii="仿宋_GB2312" w:hAnsi="仿宋_GB2312" w:eastAsia="仿宋_GB2312" w:cs="仿宋_GB2312"/>
          <w:sz w:val="32"/>
          <w:szCs w:val="32"/>
          <w:lang w:val="en-US" w:eastAsia="zh-CN"/>
        </w:rPr>
        <w:t>1998年建立，2012年修订时也基本保持延续，</w:t>
      </w:r>
      <w:r>
        <w:rPr>
          <w:rFonts w:hint="eastAsia" w:ascii="仿宋_GB2312" w:hAnsi="仿宋_GB2312" w:eastAsia="仿宋_GB2312" w:cs="仿宋_GB2312"/>
          <w:sz w:val="32"/>
          <w:szCs w:val="32"/>
          <w:lang w:eastAsia="zh-CN"/>
        </w:rPr>
        <w:t>多年实践证明，其设计是科学有效的。因此，这次修订继续保持现行制度体系框架不变，</w:t>
      </w:r>
      <w:r>
        <w:rPr>
          <w:rFonts w:hint="eastAsia" w:ascii="宋体" w:hAnsi="宋体" w:eastAsia="仿宋_GB2312" w:cs="仿宋_GB2312"/>
          <w:b w:val="0"/>
          <w:bCs w:val="0"/>
          <w:color w:val="auto"/>
          <w:sz w:val="32"/>
          <w:szCs w:val="32"/>
        </w:rPr>
        <w:t>聚焦</w:t>
      </w:r>
      <w:r>
        <w:rPr>
          <w:rFonts w:hint="eastAsia" w:ascii="宋体" w:hAnsi="宋体" w:eastAsia="仿宋_GB2312" w:cs="仿宋_GB2312"/>
          <w:b w:val="0"/>
          <w:bCs w:val="0"/>
          <w:color w:val="auto"/>
          <w:sz w:val="32"/>
          <w:szCs w:val="32"/>
          <w:lang w:eastAsia="zh-CN"/>
        </w:rPr>
        <w:t>反映财政改革最新成果，保持与上位制度</w:t>
      </w:r>
      <w:r>
        <w:rPr>
          <w:rFonts w:hint="eastAsia" w:ascii="宋体" w:hAnsi="宋体" w:eastAsia="仿宋_GB2312" w:cs="仿宋_GB2312"/>
          <w:b w:val="0"/>
          <w:bCs w:val="0"/>
          <w:color w:val="auto"/>
          <w:sz w:val="32"/>
          <w:szCs w:val="32"/>
        </w:rPr>
        <w:t>衔接。</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_GB2312" w:eastAsia="仿宋_GB2312"/>
          <w:sz w:val="32"/>
          <w:szCs w:val="32"/>
          <w:lang w:eastAsia="zh-CN"/>
        </w:rPr>
      </w:pPr>
      <w:r>
        <w:rPr>
          <w:rFonts w:hint="eastAsia" w:ascii="楷体_GB2312" w:hAnsi="楷体_GB2312" w:eastAsia="楷体_GB2312" w:cs="楷体_GB2312"/>
          <w:b/>
          <w:bCs/>
          <w:color w:val="auto"/>
          <w:sz w:val="32"/>
          <w:szCs w:val="32"/>
          <w:lang w:eastAsia="zh-CN"/>
        </w:rPr>
        <w:t>（二）填补制度空白，加强政策引导。</w:t>
      </w:r>
      <w:r>
        <w:rPr>
          <w:rFonts w:hint="eastAsia" w:ascii="仿宋_GB2312" w:eastAsia="仿宋_GB2312"/>
          <w:sz w:val="32"/>
          <w:szCs w:val="32"/>
          <w:lang w:eastAsia="zh-CN"/>
        </w:rPr>
        <w:t>现行规则是行政单位财务管理的根本遵循，对行政单位有着普遍约束力。在修订过程中，需系统考虑行政单位财务管理的需要，对于当前政策不明确的地方予以规范，同时增强前瞻性，加强政策引导</w:t>
      </w:r>
      <w:r>
        <w:rPr>
          <w:rFonts w:hint="eastAsia" w:ascii="宋体" w:hAnsi="宋体"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b/>
          <w:bCs/>
          <w:color w:val="auto"/>
          <w:sz w:val="32"/>
          <w:szCs w:val="32"/>
          <w:lang w:eastAsia="zh-CN"/>
        </w:rPr>
        <w:t>（三）预留改革空间，保证平稳过渡。</w:t>
      </w:r>
      <w:r>
        <w:rPr>
          <w:rFonts w:hint="default" w:ascii="Times New Roman" w:hAnsi="Times New Roman" w:eastAsia="仿宋_GB2312" w:cs="Times New Roman"/>
          <w:sz w:val="32"/>
          <w:szCs w:val="32"/>
        </w:rPr>
        <w:t>综合考虑预算管理、</w:t>
      </w:r>
      <w:r>
        <w:rPr>
          <w:rFonts w:hint="default" w:ascii="Times New Roman" w:hAnsi="Times New Roman" w:eastAsia="仿宋_GB2312" w:cs="Times New Roman"/>
          <w:sz w:val="32"/>
          <w:szCs w:val="32"/>
          <w:lang w:eastAsia="zh-CN"/>
        </w:rPr>
        <w:t>债务管理、</w:t>
      </w:r>
      <w:r>
        <w:rPr>
          <w:rFonts w:hint="default" w:ascii="Times New Roman" w:hAnsi="Times New Roman" w:eastAsia="仿宋_GB2312" w:cs="Times New Roman"/>
          <w:sz w:val="32"/>
          <w:szCs w:val="32"/>
        </w:rPr>
        <w:t>资产管理</w:t>
      </w:r>
      <w:r>
        <w:rPr>
          <w:rFonts w:hint="eastAsia"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lang w:eastAsia="zh-CN"/>
        </w:rPr>
        <w:t>各项</w:t>
      </w:r>
      <w:r>
        <w:rPr>
          <w:rFonts w:hint="default" w:ascii="Times New Roman" w:hAnsi="Times New Roman" w:eastAsia="仿宋_GB2312" w:cs="Times New Roman"/>
          <w:sz w:val="32"/>
          <w:szCs w:val="32"/>
        </w:rPr>
        <w:t>改革</w:t>
      </w:r>
      <w:r>
        <w:rPr>
          <w:rFonts w:hint="eastAsia" w:ascii="Times New Roman" w:hAnsi="Times New Roman" w:eastAsia="仿宋_GB2312" w:cs="Times New Roman"/>
          <w:sz w:val="32"/>
          <w:szCs w:val="32"/>
          <w:lang w:eastAsia="zh-CN"/>
        </w:rPr>
        <w:t>推进情况</w:t>
      </w:r>
      <w:r>
        <w:rPr>
          <w:rFonts w:hint="default" w:ascii="Times New Roman" w:hAnsi="Times New Roman" w:eastAsia="仿宋_GB2312" w:cs="Times New Roman"/>
          <w:sz w:val="32"/>
          <w:szCs w:val="32"/>
        </w:rPr>
        <w:t>，在与</w:t>
      </w:r>
      <w:r>
        <w:rPr>
          <w:rFonts w:hint="eastAsia" w:ascii="Times New Roman" w:hAnsi="Times New Roman" w:eastAsia="仿宋_GB2312" w:cs="Times New Roman"/>
          <w:sz w:val="32"/>
          <w:szCs w:val="32"/>
          <w:lang w:eastAsia="zh-CN"/>
        </w:rPr>
        <w:t>现行</w:t>
      </w:r>
      <w:r>
        <w:rPr>
          <w:rFonts w:hint="default" w:ascii="Times New Roman" w:hAnsi="Times New Roman" w:eastAsia="仿宋_GB2312" w:cs="Times New Roman"/>
          <w:sz w:val="32"/>
          <w:szCs w:val="32"/>
          <w:lang w:eastAsia="zh-CN"/>
        </w:rPr>
        <w:t>政策规定相</w:t>
      </w:r>
      <w:r>
        <w:rPr>
          <w:rFonts w:hint="default" w:ascii="Times New Roman" w:hAnsi="Times New Roman" w:eastAsia="仿宋_GB2312" w:cs="Times New Roman"/>
          <w:sz w:val="32"/>
          <w:szCs w:val="32"/>
        </w:rPr>
        <w:t>衔接</w:t>
      </w:r>
      <w:r>
        <w:rPr>
          <w:rFonts w:hint="eastAsia" w:ascii="Times New Roman" w:hAnsi="Times New Roman" w:eastAsia="仿宋_GB2312" w:cs="Times New Roman"/>
          <w:sz w:val="32"/>
          <w:szCs w:val="32"/>
          <w:lang w:eastAsia="zh-CN"/>
        </w:rPr>
        <w:t>、体现</w:t>
      </w:r>
      <w:r>
        <w:rPr>
          <w:rFonts w:hint="default" w:ascii="Times New Roman" w:hAnsi="Times New Roman" w:eastAsia="仿宋_GB2312" w:cs="Times New Roman"/>
          <w:sz w:val="32"/>
          <w:szCs w:val="32"/>
          <w:lang w:eastAsia="zh-CN"/>
        </w:rPr>
        <w:t>当前改革成果</w:t>
      </w:r>
      <w:r>
        <w:rPr>
          <w:rFonts w:hint="default" w:ascii="Times New Roman" w:hAnsi="Times New Roman" w:eastAsia="仿宋_GB2312" w:cs="Times New Roman"/>
          <w:sz w:val="32"/>
          <w:szCs w:val="32"/>
        </w:rPr>
        <w:t>的同时，以原则性</w:t>
      </w:r>
      <w:r>
        <w:rPr>
          <w:rFonts w:hint="eastAsia" w:ascii="Times New Roman" w:hAnsi="Times New Roman" w:eastAsia="仿宋_GB2312" w:cs="Times New Roman"/>
          <w:sz w:val="32"/>
          <w:szCs w:val="32"/>
          <w:lang w:eastAsia="zh-CN"/>
        </w:rPr>
        <w:t>规范</w:t>
      </w:r>
      <w:r>
        <w:rPr>
          <w:rFonts w:hint="default" w:ascii="Times New Roman" w:hAnsi="Times New Roman" w:eastAsia="仿宋_GB2312" w:cs="Times New Roman"/>
          <w:sz w:val="32"/>
          <w:szCs w:val="32"/>
        </w:rPr>
        <w:t>为主，</w:t>
      </w:r>
      <w:r>
        <w:rPr>
          <w:rFonts w:hint="eastAsia" w:ascii="Times New Roman" w:hAnsi="Times New Roman" w:eastAsia="仿宋_GB2312" w:cs="Times New Roman"/>
          <w:sz w:val="32"/>
          <w:szCs w:val="32"/>
          <w:lang w:eastAsia="zh-CN"/>
        </w:rPr>
        <w:t>为下一步深化</w:t>
      </w:r>
      <w:r>
        <w:rPr>
          <w:rFonts w:hint="default" w:ascii="Times New Roman" w:hAnsi="Times New Roman" w:eastAsia="仿宋_GB2312" w:cs="Times New Roman"/>
          <w:sz w:val="32"/>
          <w:szCs w:val="32"/>
        </w:rPr>
        <w:t>改革预留</w:t>
      </w:r>
      <w:r>
        <w:rPr>
          <w:rFonts w:hint="eastAsia" w:ascii="Times New Roman" w:hAnsi="Times New Roman" w:eastAsia="仿宋_GB2312" w:cs="Times New Roman"/>
          <w:sz w:val="32"/>
          <w:szCs w:val="32"/>
          <w:lang w:eastAsia="zh-CN"/>
        </w:rPr>
        <w:t>政策</w:t>
      </w:r>
      <w:r>
        <w:rPr>
          <w:rFonts w:hint="default" w:ascii="Times New Roman" w:hAnsi="Times New Roman" w:eastAsia="仿宋_GB2312" w:cs="Times New Roman"/>
          <w:sz w:val="32"/>
          <w:szCs w:val="32"/>
        </w:rPr>
        <w:t>空间。</w:t>
      </w:r>
    </w:p>
    <w:p>
      <w:pPr>
        <w:ind w:firstLine="640" w:firstLineChars="200"/>
        <w:outlineLvl w:val="0"/>
        <w:rPr>
          <w:rFonts w:hint="eastAsia" w:ascii="黑体" w:hAnsi="宋体" w:eastAsia="黑体"/>
          <w:sz w:val="32"/>
          <w:szCs w:val="32"/>
          <w:lang w:eastAsia="zh-CN"/>
        </w:rPr>
      </w:pPr>
      <w:r>
        <w:rPr>
          <w:rFonts w:hint="eastAsia" w:ascii="黑体" w:hAnsi="黑体" w:eastAsia="黑体"/>
          <w:sz w:val="32"/>
          <w:szCs w:val="32"/>
          <w:lang w:eastAsia="zh-CN"/>
        </w:rPr>
        <w:t>三</w:t>
      </w:r>
      <w:r>
        <w:rPr>
          <w:rFonts w:hint="eastAsia" w:ascii="黑体" w:hAnsi="黑体" w:eastAsia="黑体"/>
          <w:sz w:val="32"/>
          <w:szCs w:val="32"/>
        </w:rPr>
        <w:t>、修订</w:t>
      </w:r>
      <w:r>
        <w:rPr>
          <w:rFonts w:hint="eastAsia" w:ascii="黑体" w:hAnsi="黑体" w:eastAsia="黑体"/>
          <w:sz w:val="32"/>
          <w:szCs w:val="32"/>
          <w:lang w:eastAsia="zh-CN"/>
        </w:rPr>
        <w:t>过程</w:t>
      </w:r>
    </w:p>
    <w:p>
      <w:pPr>
        <w:spacing w:beforeLines="0"/>
        <w:ind w:firstLine="640" w:firstLineChars="200"/>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现行规则修订工作于2020年7月正式启动，我们</w:t>
      </w:r>
      <w:r>
        <w:rPr>
          <w:rFonts w:hint="eastAsia" w:ascii="仿宋_GB2312" w:hAnsi="仿宋_GB2312" w:eastAsia="仿宋_GB2312" w:cs="仿宋_GB2312"/>
          <w:kern w:val="0"/>
          <w:sz w:val="32"/>
          <w:szCs w:val="32"/>
          <w:highlight w:val="none"/>
        </w:rPr>
        <w:t>会同中国财政杂志社开展</w:t>
      </w:r>
      <w:r>
        <w:rPr>
          <w:rFonts w:hint="eastAsia" w:ascii="仿宋_GB2312" w:hAnsi="仿宋_GB2312" w:eastAsia="仿宋_GB2312" w:cs="仿宋_GB2312"/>
          <w:kern w:val="0"/>
          <w:sz w:val="32"/>
          <w:szCs w:val="32"/>
          <w:highlight w:val="none"/>
          <w:lang w:eastAsia="zh-CN"/>
        </w:rPr>
        <w:t>了</w:t>
      </w:r>
      <w:r>
        <w:rPr>
          <w:rFonts w:hint="eastAsia" w:ascii="仿宋_GB2312" w:hAnsi="仿宋_GB2312" w:eastAsia="仿宋_GB2312" w:cs="仿宋_GB2312"/>
          <w:kern w:val="0"/>
          <w:sz w:val="32"/>
          <w:szCs w:val="32"/>
          <w:highlight w:val="none"/>
        </w:rPr>
        <w:t>“《行政单位财务规则》修订”主题征文活动</w:t>
      </w:r>
      <w:r>
        <w:rPr>
          <w:rFonts w:hint="eastAsia" w:ascii="仿宋_GB2312" w:hAnsi="仿宋_GB2312" w:eastAsia="仿宋_GB2312" w:cs="仿宋_GB2312"/>
          <w:kern w:val="0"/>
          <w:sz w:val="32"/>
          <w:szCs w:val="32"/>
          <w:highlight w:val="none"/>
          <w:lang w:eastAsia="zh-CN"/>
        </w:rPr>
        <w:t>，广泛征集修改意见</w:t>
      </w: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bCs/>
          <w:sz w:val="32"/>
          <w:szCs w:val="32"/>
          <w:highlight w:val="none"/>
          <w:lang w:eastAsia="zh-CN"/>
        </w:rPr>
        <w:t>并</w:t>
      </w:r>
      <w:r>
        <w:rPr>
          <w:rFonts w:hint="eastAsia" w:ascii="仿宋_GB2312" w:hAnsi="仿宋_GB2312" w:eastAsia="仿宋_GB2312" w:cs="仿宋_GB2312"/>
          <w:bCs/>
          <w:sz w:val="32"/>
          <w:szCs w:val="32"/>
          <w:highlight w:val="none"/>
        </w:rPr>
        <w:t>邀请相关领域专家、学者评选出</w:t>
      </w:r>
      <w:r>
        <w:rPr>
          <w:rFonts w:hint="eastAsia" w:ascii="仿宋_GB2312" w:hAnsi="仿宋_GB2312" w:eastAsia="仿宋_GB2312" w:cs="仿宋_GB2312"/>
          <w:bCs/>
          <w:sz w:val="32"/>
          <w:szCs w:val="32"/>
          <w:highlight w:val="none"/>
          <w:lang w:eastAsia="zh-CN"/>
        </w:rPr>
        <w:t>获</w:t>
      </w:r>
      <w:r>
        <w:rPr>
          <w:rFonts w:hint="eastAsia" w:ascii="仿宋_GB2312" w:hAnsi="仿宋_GB2312" w:eastAsia="仿宋_GB2312" w:cs="仿宋_GB2312"/>
          <w:bCs/>
          <w:sz w:val="32"/>
          <w:szCs w:val="32"/>
          <w:highlight w:val="none"/>
        </w:rPr>
        <w:t>奖</w:t>
      </w:r>
      <w:r>
        <w:rPr>
          <w:rFonts w:hint="eastAsia" w:ascii="仿宋_GB2312" w:hAnsi="仿宋_GB2312" w:eastAsia="仿宋_GB2312" w:cs="仿宋_GB2312"/>
          <w:bCs/>
          <w:sz w:val="32"/>
          <w:szCs w:val="32"/>
          <w:highlight w:val="none"/>
          <w:lang w:eastAsia="zh-CN"/>
        </w:rPr>
        <w:t>文章</w:t>
      </w: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bCs/>
          <w:sz w:val="32"/>
          <w:szCs w:val="32"/>
          <w:highlight w:val="none"/>
          <w:lang w:val="en-US" w:eastAsia="zh-CN"/>
        </w:rPr>
        <w:t>2021年，修订现行规则列为年度立法预备项目，我们加快了修订工作进度：一是向税务总局、审计署、司法部、公安部等</w:t>
      </w:r>
      <w:r>
        <w:rPr>
          <w:rFonts w:hint="eastAsia" w:ascii="仿宋_GB2312" w:hAnsi="仿宋_GB2312" w:eastAsia="仿宋_GB2312" w:cs="仿宋_GB2312"/>
          <w:sz w:val="32"/>
          <w:szCs w:val="32"/>
          <w:highlight w:val="none"/>
          <w:lang w:val="en-US" w:eastAsia="zh-CN"/>
        </w:rPr>
        <w:t>有代表性的</w:t>
      </w:r>
      <w:r>
        <w:rPr>
          <w:rFonts w:hint="default" w:ascii="仿宋_GB2312" w:hAnsi="仿宋_GB2312" w:eastAsia="仿宋_GB2312" w:cs="仿宋_GB2312"/>
          <w:sz w:val="32"/>
          <w:szCs w:val="32"/>
          <w:highlight w:val="none"/>
          <w:lang w:val="en" w:eastAsia="zh-CN"/>
        </w:rPr>
        <w:t>26</w:t>
      </w:r>
      <w:r>
        <w:rPr>
          <w:rFonts w:hint="eastAsia" w:ascii="仿宋_GB2312" w:hAnsi="仿宋_GB2312" w:eastAsia="仿宋_GB2312" w:cs="仿宋_GB2312"/>
          <w:sz w:val="32"/>
          <w:szCs w:val="32"/>
          <w:highlight w:val="none"/>
          <w:lang w:val="en-US" w:eastAsia="zh-CN"/>
        </w:rPr>
        <w:t>家中央单位</w:t>
      </w:r>
      <w:r>
        <w:rPr>
          <w:rFonts w:hint="eastAsia" w:ascii="仿宋_GB2312" w:hAnsi="仿宋_GB2312" w:eastAsia="仿宋_GB2312" w:cs="仿宋_GB2312"/>
          <w:bCs/>
          <w:sz w:val="32"/>
          <w:szCs w:val="32"/>
          <w:highlight w:val="none"/>
          <w:lang w:val="en-US" w:eastAsia="zh-CN"/>
        </w:rPr>
        <w:t>小规模征求意见建议；二是对112个中央单位以及36个省级财政部门开展书面调研，全面总结现行规则实践经验和问题，共收到意见建议370余条。</w:t>
      </w:r>
      <w:r>
        <w:rPr>
          <w:rFonts w:hint="eastAsia" w:ascii="仿宋_GB2312" w:hAnsi="仿宋_GB2312" w:eastAsia="仿宋_GB2312" w:cs="仿宋_GB2312"/>
          <w:sz w:val="32"/>
          <w:szCs w:val="32"/>
          <w:highlight w:val="none"/>
          <w:lang w:val="en-US" w:eastAsia="zh-CN"/>
        </w:rPr>
        <w:t>2022年，我们在系统梳理、深入分析研究的基础上形成</w:t>
      </w:r>
      <w:r>
        <w:rPr>
          <w:rFonts w:hint="eastAsia" w:ascii="仿宋_GB2312" w:hAnsi="宋体" w:eastAsia="仿宋_GB2312" w:cs="仿宋_GB2312"/>
          <w:sz w:val="32"/>
          <w:szCs w:val="32"/>
          <w:highlight w:val="none"/>
          <w:lang w:eastAsia="zh-CN"/>
        </w:rPr>
        <w:t>修订</w:t>
      </w:r>
      <w:r>
        <w:rPr>
          <w:rFonts w:ascii="仿宋_GB2312" w:hAnsi="宋体" w:eastAsia="仿宋_GB2312" w:cs="仿宋_GB2312"/>
          <w:sz w:val="32"/>
          <w:szCs w:val="32"/>
          <w:highlight w:val="none"/>
        </w:rPr>
        <w:t>稿</w:t>
      </w:r>
      <w:r>
        <w:rPr>
          <w:rFonts w:hint="eastAsia" w:ascii="仿宋_GB2312" w:hAnsi="仿宋_GB2312" w:eastAsia="仿宋_GB2312" w:cs="仿宋_GB2312"/>
          <w:sz w:val="32"/>
          <w:szCs w:val="32"/>
          <w:highlight w:val="none"/>
          <w:lang w:val="en-US" w:eastAsia="zh-CN"/>
        </w:rPr>
        <w:t>，并于3月征求部内相关司处意见，共收到意见建议</w:t>
      </w:r>
      <w:r>
        <w:rPr>
          <w:rFonts w:hint="default" w:ascii="仿宋_GB2312" w:hAnsi="仿宋_GB2312" w:eastAsia="仿宋_GB2312" w:cs="仿宋_GB2312"/>
          <w:sz w:val="32"/>
          <w:szCs w:val="32"/>
          <w:highlight w:val="none"/>
          <w:lang w:val="en" w:eastAsia="zh-CN"/>
        </w:rPr>
        <w:t>42</w:t>
      </w:r>
      <w:r>
        <w:rPr>
          <w:rFonts w:hint="eastAsia" w:ascii="仿宋_GB2312" w:hAnsi="仿宋_GB2312" w:eastAsia="仿宋_GB2312" w:cs="仿宋_GB2312"/>
          <w:sz w:val="32"/>
          <w:szCs w:val="32"/>
          <w:highlight w:val="none"/>
          <w:lang w:val="en-US" w:eastAsia="zh-CN"/>
        </w:rPr>
        <w:t>条。对此，我们逐条研究论证，并与相关单位反复沟通，商讨具体条款的修改方案，充分吸收采纳后形成《征求意见稿》。</w:t>
      </w:r>
    </w:p>
    <w:p>
      <w:pPr>
        <w:spacing w:beforeLines="0"/>
        <w:ind w:firstLine="640" w:firstLineChars="200"/>
        <w:outlineLvl w:val="1"/>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四、主要修订内容</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lang w:eastAsia="zh-CN"/>
        </w:rPr>
        <w:t>《征求意见稿》共</w:t>
      </w:r>
      <w:r>
        <w:rPr>
          <w:rFonts w:hint="eastAsia" w:ascii="仿宋_GB2312" w:hAnsi="仿宋_GB2312" w:eastAsia="仿宋_GB2312" w:cs="仿宋_GB2312"/>
          <w:sz w:val="32"/>
          <w:szCs w:val="32"/>
          <w:lang w:val="en-US" w:eastAsia="zh-CN"/>
        </w:rPr>
        <w:t>11章65条</w:t>
      </w:r>
      <w:r>
        <w:rPr>
          <w:rFonts w:hint="eastAsia" w:ascii="仿宋_GB2312" w:hAnsi="仿宋_GB2312" w:eastAsia="仿宋_GB2312" w:cs="仿宋_GB2312"/>
          <w:sz w:val="32"/>
          <w:szCs w:val="32"/>
          <w:lang w:eastAsia="zh-CN"/>
        </w:rPr>
        <w:t>，包括</w:t>
      </w:r>
      <w:r>
        <w:rPr>
          <w:rFonts w:hint="eastAsia" w:ascii="仿宋_GB2312" w:hAnsi="仿宋_GB2312" w:eastAsia="仿宋_GB2312" w:cs="仿宋_GB2312"/>
          <w:sz w:val="32"/>
          <w:szCs w:val="32"/>
        </w:rPr>
        <w:t>总则</w:t>
      </w:r>
      <w:r>
        <w:rPr>
          <w:rFonts w:hint="eastAsia" w:ascii="仿宋_GB2312" w:hAnsi="仿宋_GB2312" w:eastAsia="仿宋_GB2312" w:cs="仿宋_GB2312"/>
          <w:sz w:val="32"/>
          <w:szCs w:val="32"/>
          <w:lang w:eastAsia="zh-CN"/>
        </w:rPr>
        <w:t>、单位预算管理、收入管理、支出管理、结转和结余管理、资产管理、负债管理、行政单位划转撤并的财务处理、财务报告和决算报告、财务监督、附则等内容。与</w:t>
      </w:r>
      <w:r>
        <w:rPr>
          <w:rFonts w:hint="eastAsia" w:ascii="仿宋_GB2312" w:hAnsi="仿宋_GB2312" w:eastAsia="仿宋_GB2312" w:cs="仿宋_GB2312"/>
          <w:sz w:val="32"/>
          <w:szCs w:val="32"/>
          <w:lang w:val="en-US" w:eastAsia="zh-CN"/>
        </w:rPr>
        <w:t>现行规则相比，《征求意见稿》</w:t>
      </w:r>
      <w:r>
        <w:rPr>
          <w:rFonts w:hint="eastAsia" w:ascii="仿宋_GB2312" w:hAnsi="仿宋_GB2312" w:eastAsia="仿宋_GB2312" w:cs="仿宋_GB2312"/>
          <w:sz w:val="32"/>
          <w:szCs w:val="32"/>
          <w:lang w:eastAsia="zh-CN"/>
        </w:rPr>
        <w:t>总章节数保持</w:t>
      </w:r>
      <w:r>
        <w:rPr>
          <w:rFonts w:hint="eastAsia" w:ascii="仿宋_GB2312" w:hAnsi="仿宋_GB2312" w:eastAsia="仿宋_GB2312" w:cs="仿宋_GB2312"/>
          <w:sz w:val="32"/>
          <w:szCs w:val="32"/>
          <w:lang w:val="en-US" w:eastAsia="zh-CN"/>
        </w:rPr>
        <w:t>不变，</w:t>
      </w:r>
      <w:r>
        <w:rPr>
          <w:rFonts w:hint="eastAsia" w:ascii="仿宋_GB2312" w:hAnsi="仿宋_GB2312" w:eastAsia="仿宋_GB2312" w:cs="仿宋_GB2312"/>
          <w:sz w:val="32"/>
          <w:szCs w:val="32"/>
          <w:lang w:eastAsia="zh-CN"/>
        </w:rPr>
        <w:t>条款数目增加</w:t>
      </w:r>
      <w:r>
        <w:rPr>
          <w:rFonts w:hint="eastAsia" w:ascii="仿宋_GB2312" w:hAnsi="仿宋_GB2312" w:eastAsia="仿宋_GB2312" w:cs="仿宋_GB2312"/>
          <w:sz w:val="32"/>
          <w:szCs w:val="32"/>
          <w:lang w:val="en-US" w:eastAsia="zh-CN"/>
        </w:rPr>
        <w:t>2条，删除附件“行政单位财务分析指标”</w:t>
      </w:r>
      <w:r>
        <w:rPr>
          <w:rFonts w:hint="eastAsia" w:ascii="仿宋_GB2312" w:hAnsi="仿宋_GB2312" w:eastAsia="仿宋_GB2312" w:cs="仿宋_GB2312"/>
          <w:color w:val="auto"/>
          <w:sz w:val="32"/>
          <w:szCs w:val="32"/>
          <w:highlight w:val="none"/>
          <w:lang w:val="en-US" w:eastAsia="zh-CN"/>
        </w:rPr>
        <w:t>。修订内容主要如下：</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42" w:firstLineChars="200"/>
        <w:textAlignment w:val="auto"/>
        <w:rPr>
          <w:rFonts w:hint="eastAsia"/>
          <w:lang w:eastAsia="zh-CN"/>
        </w:rPr>
      </w:pPr>
      <w:r>
        <w:rPr>
          <w:rFonts w:hint="eastAsia" w:ascii="楷体_GB2312" w:hAnsi="楷体_GB2312" w:eastAsia="楷体_GB2312" w:cs="楷体_GB2312"/>
          <w:b/>
          <w:bCs/>
          <w:sz w:val="32"/>
          <w:szCs w:val="32"/>
          <w:highlight w:val="none"/>
          <w:lang w:eastAsia="zh-CN"/>
        </w:rPr>
        <w:t>（一）强化厉行节约要求。</w:t>
      </w:r>
      <w:r>
        <w:rPr>
          <w:rFonts w:hint="eastAsia" w:ascii="仿宋_GB2312" w:hAnsi="仿宋_GB2312" w:eastAsia="仿宋_GB2312" w:cs="仿宋_GB2312"/>
          <w:i w:val="0"/>
          <w:color w:val="000000"/>
          <w:kern w:val="0"/>
          <w:sz w:val="32"/>
          <w:szCs w:val="32"/>
          <w:highlight w:val="none"/>
          <w:u w:val="none"/>
          <w:lang w:val="en-US" w:eastAsia="zh-CN" w:bidi="ar"/>
        </w:rPr>
        <w:t>结合2013年中共中央、国务院发布的《党政机关厉行节约反对浪费条例》、《国务院关于进一步深化预算管理制度改革的意见》（国发〔2021〕5号）及近年政府工作报告等要求，在基本原则中增加“坚持过紧日子”、“从严从简”等要求；</w:t>
      </w:r>
      <w:r>
        <w:rPr>
          <w:rFonts w:hint="eastAsia" w:ascii="仿宋_GB2312" w:eastAsia="仿宋_GB2312"/>
          <w:sz w:val="32"/>
          <w:szCs w:val="32"/>
          <w:highlight w:val="none"/>
          <w:lang w:eastAsia="zh-CN"/>
        </w:rPr>
        <w:t>在“支出管理”中明确</w:t>
      </w:r>
      <w:r>
        <w:rPr>
          <w:rFonts w:hint="eastAsia" w:ascii="仿宋_GB2312" w:hAnsi="仿宋_GB2312" w:eastAsia="仿宋_GB2312" w:cs="仿宋_GB2312"/>
          <w:i w:val="0"/>
          <w:color w:val="000000"/>
          <w:kern w:val="0"/>
          <w:sz w:val="32"/>
          <w:szCs w:val="32"/>
          <w:highlight w:val="none"/>
          <w:u w:val="none"/>
          <w:lang w:val="en-US" w:eastAsia="zh-CN" w:bidi="ar"/>
        </w:rPr>
        <w:t>各单位不得擅自扩大开支范围、提高开支标准，合理安排支出进度，严控一般性支出。</w:t>
      </w:r>
    </w:p>
    <w:p>
      <w:pPr>
        <w:numPr>
          <w:ilvl w:val="0"/>
          <w:numId w:val="0"/>
        </w:numPr>
        <w:ind w:firstLine="642" w:firstLineChars="200"/>
        <w:rPr>
          <w:rFonts w:hint="eastAsia" w:ascii="仿宋_GB2312" w:hAnsi="仿宋_GB2312" w:eastAsia="仿宋_GB2312" w:cs="仿宋_GB2312"/>
          <w:b w:val="0"/>
          <w:bCs w:val="0"/>
          <w:kern w:val="2"/>
          <w:sz w:val="32"/>
          <w:szCs w:val="32"/>
          <w:highlight w:val="none"/>
          <w:lang w:val="en-US" w:eastAsia="zh-CN" w:bidi="ar-SA"/>
        </w:rPr>
      </w:pPr>
      <w:r>
        <w:rPr>
          <w:rFonts w:hint="eastAsia" w:ascii="楷体_GB2312" w:hAnsi="楷体_GB2312" w:eastAsia="楷体_GB2312" w:cs="楷体_GB2312"/>
          <w:b/>
          <w:bCs/>
          <w:i w:val="0"/>
          <w:color w:val="000000"/>
          <w:kern w:val="2"/>
          <w:sz w:val="32"/>
          <w:szCs w:val="32"/>
          <w:highlight w:val="none"/>
          <w:u w:val="none"/>
          <w:lang w:val="en" w:eastAsia="zh-CN" w:bidi="ar"/>
        </w:rPr>
        <w:t>（二）</w:t>
      </w:r>
      <w:r>
        <w:rPr>
          <w:rFonts w:hint="eastAsia" w:ascii="楷体_GB2312" w:hAnsi="楷体_GB2312" w:eastAsia="楷体_GB2312" w:cs="楷体_GB2312"/>
          <w:b/>
          <w:bCs/>
          <w:sz w:val="32"/>
          <w:szCs w:val="32"/>
          <w:highlight w:val="none"/>
        </w:rPr>
        <w:t>体现</w:t>
      </w:r>
      <w:r>
        <w:rPr>
          <w:rFonts w:hint="eastAsia" w:ascii="楷体_GB2312" w:hAnsi="楷体_GB2312" w:eastAsia="楷体_GB2312" w:cs="楷体_GB2312"/>
          <w:b/>
          <w:bCs/>
          <w:sz w:val="32"/>
          <w:szCs w:val="32"/>
          <w:highlight w:val="none"/>
          <w:lang w:eastAsia="zh-CN"/>
        </w:rPr>
        <w:t>预算管理改革最新要求</w:t>
      </w:r>
      <w:r>
        <w:rPr>
          <w:rFonts w:hint="eastAsia" w:ascii="楷体_GB2312" w:hAnsi="楷体_GB2312" w:eastAsia="楷体_GB2312" w:cs="楷体_GB2312"/>
          <w:b/>
          <w:bCs/>
          <w:i w:val="0"/>
          <w:color w:val="000000"/>
          <w:kern w:val="2"/>
          <w:sz w:val="32"/>
          <w:szCs w:val="32"/>
          <w:highlight w:val="none"/>
          <w:u w:val="none"/>
          <w:lang w:val="en-US" w:eastAsia="zh-CN" w:bidi="ar"/>
        </w:rPr>
        <w:t>。</w:t>
      </w:r>
      <w:r>
        <w:rPr>
          <w:rFonts w:hint="eastAsia" w:ascii="仿宋_GB2312" w:hAnsi="仿宋_GB2312" w:eastAsia="仿宋_GB2312" w:cs="仿宋_GB2312"/>
          <w:b w:val="0"/>
          <w:bCs w:val="0"/>
          <w:i w:val="0"/>
          <w:color w:val="000000"/>
          <w:kern w:val="2"/>
          <w:sz w:val="32"/>
          <w:szCs w:val="32"/>
          <w:highlight w:val="none"/>
          <w:u w:val="none"/>
          <w:lang w:val="en-US" w:eastAsia="zh-CN" w:bidi="ar"/>
        </w:rPr>
        <w:t>结合深化预算管理改革要求，特别是预算法及其实施条例、</w:t>
      </w:r>
      <w:r>
        <w:rPr>
          <w:rFonts w:hint="eastAsia" w:ascii="仿宋_GB2312" w:hAnsi="仿宋_GB2312" w:eastAsia="仿宋_GB2312" w:cs="仿宋_GB2312"/>
          <w:i w:val="0"/>
          <w:color w:val="000000"/>
          <w:kern w:val="0"/>
          <w:sz w:val="32"/>
          <w:szCs w:val="32"/>
          <w:highlight w:val="none"/>
          <w:u w:val="none"/>
          <w:lang w:val="en-US" w:eastAsia="zh-CN" w:bidi="ar"/>
        </w:rPr>
        <w:t>《中共中央 国务院关于全面实施预算绩效管理的意见》</w:t>
      </w:r>
      <w:r>
        <w:rPr>
          <w:rFonts w:hint="eastAsia" w:ascii="仿宋_GB2312" w:eastAsia="仿宋_GB2312"/>
          <w:sz w:val="32"/>
          <w:szCs w:val="32"/>
          <w:highlight w:val="none"/>
          <w:lang w:val="en-US" w:eastAsia="zh-CN"/>
        </w:rPr>
        <w:t>、《国务院关于进一步深化预算管理制度改革的意见》</w:t>
      </w:r>
      <w:r>
        <w:rPr>
          <w:rFonts w:hint="eastAsia" w:ascii="仿宋_GB2312" w:hAnsi="仿宋_GB2312" w:eastAsia="仿宋_GB2312" w:cs="仿宋_GB2312"/>
          <w:i w:val="0"/>
          <w:color w:val="000000"/>
          <w:kern w:val="0"/>
          <w:sz w:val="32"/>
          <w:szCs w:val="32"/>
          <w:highlight w:val="none"/>
          <w:u w:val="none"/>
          <w:lang w:val="en-US" w:eastAsia="zh-CN" w:bidi="ar"/>
        </w:rPr>
        <w:t>（国发〔2021〕5号）</w:t>
      </w:r>
      <w:r>
        <w:rPr>
          <w:rFonts w:hint="eastAsia" w:ascii="仿宋_GB2312" w:eastAsia="仿宋_GB2312"/>
          <w:sz w:val="32"/>
          <w:szCs w:val="32"/>
          <w:highlight w:val="none"/>
          <w:lang w:val="en-US" w:eastAsia="zh-CN"/>
        </w:rPr>
        <w:t>、</w:t>
      </w:r>
      <w:r>
        <w:rPr>
          <w:rFonts w:hint="default" w:ascii="Times New Roman" w:hAnsi="Times New Roman" w:eastAsia="仿宋_GB2312" w:cs="Times New Roman"/>
          <w:sz w:val="32"/>
          <w:szCs w:val="32"/>
          <w:highlight w:val="none"/>
          <w:lang w:val="en-US" w:eastAsia="zh-CN" w:bidi="ar"/>
        </w:rPr>
        <w:t>预算管理一体化规范</w:t>
      </w:r>
      <w:r>
        <w:rPr>
          <w:rFonts w:hint="eastAsia" w:ascii="仿宋_GB2312" w:hAnsi="仿宋_GB2312" w:eastAsia="仿宋_GB2312" w:cs="仿宋_GB2312"/>
          <w:i w:val="0"/>
          <w:color w:val="000000"/>
          <w:kern w:val="0"/>
          <w:sz w:val="32"/>
          <w:szCs w:val="32"/>
          <w:highlight w:val="none"/>
          <w:u w:val="none"/>
          <w:lang w:val="en-US" w:eastAsia="zh-CN" w:bidi="ar"/>
        </w:rPr>
        <w:t>等要求，</w:t>
      </w:r>
      <w:r>
        <w:rPr>
          <w:rFonts w:hint="eastAsia" w:ascii="仿宋_GB2312" w:hAnsi="仿宋_GB2312" w:eastAsia="仿宋_GB2312" w:cs="仿宋_GB2312"/>
          <w:b/>
          <w:bCs/>
          <w:i w:val="0"/>
          <w:color w:val="000000"/>
          <w:kern w:val="2"/>
          <w:sz w:val="32"/>
          <w:szCs w:val="32"/>
          <w:highlight w:val="none"/>
          <w:u w:val="none"/>
          <w:lang w:val="en-US" w:eastAsia="zh-CN" w:bidi="ar"/>
        </w:rPr>
        <w:t>一是加强绩效管理，</w:t>
      </w:r>
      <w:r>
        <w:rPr>
          <w:rFonts w:hint="eastAsia" w:ascii="仿宋_GB2312" w:hAnsi="仿宋_GB2312" w:eastAsia="仿宋_GB2312" w:cs="仿宋_GB2312"/>
          <w:color w:val="000000"/>
          <w:sz w:val="32"/>
          <w:szCs w:val="32"/>
          <w:highlight w:val="none"/>
        </w:rPr>
        <w:t>明确将</w:t>
      </w:r>
      <w:r>
        <w:rPr>
          <w:rFonts w:hint="eastAsia" w:ascii="仿宋_GB2312" w:hAnsi="仿宋_GB2312" w:eastAsia="仿宋_GB2312" w:cs="仿宋_GB2312"/>
          <w:color w:val="000000"/>
          <w:sz w:val="32"/>
          <w:szCs w:val="32"/>
          <w:highlight w:val="none"/>
          <w:lang w:eastAsia="zh-CN"/>
        </w:rPr>
        <w:t>全面</w:t>
      </w:r>
      <w:r>
        <w:rPr>
          <w:rFonts w:hint="eastAsia" w:ascii="仿宋_GB2312" w:hAnsi="仿宋_GB2312" w:eastAsia="仿宋_GB2312" w:cs="仿宋_GB2312"/>
          <w:color w:val="000000"/>
          <w:sz w:val="32"/>
          <w:szCs w:val="32"/>
          <w:highlight w:val="none"/>
        </w:rPr>
        <w:t>实施绩效管理作为</w:t>
      </w:r>
      <w:r>
        <w:rPr>
          <w:rFonts w:hint="eastAsia" w:ascii="仿宋_GB2312" w:hAnsi="仿宋_GB2312" w:eastAsia="仿宋_GB2312" w:cs="仿宋_GB2312"/>
          <w:color w:val="000000"/>
          <w:sz w:val="32"/>
          <w:szCs w:val="32"/>
          <w:highlight w:val="none"/>
          <w:lang w:eastAsia="zh-CN"/>
        </w:rPr>
        <w:t>行政单位</w:t>
      </w:r>
      <w:r>
        <w:rPr>
          <w:rFonts w:hint="eastAsia" w:ascii="仿宋_GB2312" w:hAnsi="仿宋_GB2312" w:eastAsia="仿宋_GB2312" w:cs="仿宋_GB2312"/>
          <w:color w:val="000000"/>
          <w:sz w:val="32"/>
          <w:szCs w:val="32"/>
          <w:highlight w:val="none"/>
        </w:rPr>
        <w:t>财务管理的</w:t>
      </w:r>
      <w:r>
        <w:rPr>
          <w:rFonts w:hint="eastAsia" w:ascii="仿宋_GB2312" w:hAnsi="仿宋_GB2312" w:eastAsia="仿宋_GB2312" w:cs="仿宋_GB2312"/>
          <w:color w:val="000000"/>
          <w:sz w:val="32"/>
          <w:szCs w:val="32"/>
          <w:highlight w:val="none"/>
          <w:lang w:eastAsia="zh-CN"/>
        </w:rPr>
        <w:t>主要</w:t>
      </w:r>
      <w:r>
        <w:rPr>
          <w:rFonts w:hint="eastAsia" w:ascii="仿宋_GB2312" w:hAnsi="仿宋_GB2312" w:eastAsia="仿宋_GB2312" w:cs="仿宋_GB2312"/>
          <w:color w:val="000000"/>
          <w:sz w:val="32"/>
          <w:szCs w:val="32"/>
          <w:highlight w:val="none"/>
        </w:rPr>
        <w:t>任务</w:t>
      </w:r>
      <w:r>
        <w:rPr>
          <w:rFonts w:hint="eastAsia" w:ascii="仿宋_GB2312" w:hAnsi="仿宋_GB2312" w:eastAsia="仿宋_GB2312" w:cs="仿宋_GB2312"/>
          <w:color w:val="000000"/>
          <w:sz w:val="32"/>
          <w:szCs w:val="32"/>
          <w:highlight w:val="none"/>
          <w:lang w:eastAsia="zh-CN"/>
        </w:rPr>
        <w:t>，将</w:t>
      </w:r>
      <w:r>
        <w:rPr>
          <w:rFonts w:hint="eastAsia" w:ascii="仿宋_GB2312" w:hAnsi="仿宋_GB2312" w:eastAsia="仿宋_GB2312" w:cs="仿宋_GB2312"/>
          <w:sz w:val="32"/>
          <w:szCs w:val="32"/>
          <w:highlight w:val="none"/>
        </w:rPr>
        <w:t>绩效结果</w:t>
      </w:r>
      <w:r>
        <w:rPr>
          <w:rFonts w:hint="eastAsia" w:ascii="仿宋_GB2312" w:hAnsi="仿宋_GB2312" w:eastAsia="仿宋_GB2312" w:cs="仿宋_GB2312"/>
          <w:sz w:val="32"/>
          <w:szCs w:val="32"/>
          <w:highlight w:val="none"/>
          <w:lang w:eastAsia="zh-CN"/>
        </w:rPr>
        <w:t>作为</w:t>
      </w:r>
      <w:r>
        <w:rPr>
          <w:rFonts w:hint="eastAsia" w:ascii="仿宋_GB2312" w:hAnsi="仿宋_GB2312" w:eastAsia="仿宋_GB2312" w:cs="仿宋_GB2312"/>
          <w:sz w:val="32"/>
          <w:szCs w:val="32"/>
          <w:highlight w:val="none"/>
        </w:rPr>
        <w:t>预算编制</w:t>
      </w:r>
      <w:r>
        <w:rPr>
          <w:rFonts w:hint="eastAsia" w:ascii="仿宋_GB2312" w:hAnsi="仿宋_GB2312" w:eastAsia="仿宋_GB2312" w:cs="仿宋_GB2312"/>
          <w:sz w:val="32"/>
          <w:szCs w:val="32"/>
          <w:highlight w:val="none"/>
          <w:lang w:eastAsia="zh-CN"/>
        </w:rPr>
        <w:t>的重要</w:t>
      </w:r>
      <w:r>
        <w:rPr>
          <w:rFonts w:hint="eastAsia" w:ascii="仿宋_GB2312" w:hAnsi="仿宋_GB2312" w:eastAsia="仿宋_GB2312" w:cs="仿宋_GB2312"/>
          <w:color w:val="000000"/>
          <w:sz w:val="32"/>
          <w:szCs w:val="32"/>
          <w:highlight w:val="none"/>
          <w:lang w:eastAsia="zh-CN"/>
        </w:rPr>
        <w:t>考虑因素</w:t>
      </w:r>
      <w:r>
        <w:rPr>
          <w:rFonts w:hint="eastAsia" w:ascii="仿宋_GB2312" w:hAnsi="仿宋_GB2312" w:eastAsia="仿宋_GB2312" w:cs="仿宋_GB2312"/>
          <w:color w:val="000000"/>
          <w:sz w:val="32"/>
          <w:szCs w:val="32"/>
          <w:highlight w:val="none"/>
          <w:lang w:val="en" w:eastAsia="zh-CN"/>
        </w:rPr>
        <w:t>，</w:t>
      </w:r>
      <w:r>
        <w:rPr>
          <w:rFonts w:hint="eastAsia" w:ascii="仿宋_GB2312" w:hAnsi="仿宋_GB2312" w:eastAsia="仿宋_GB2312" w:cs="仿宋_GB2312"/>
          <w:color w:val="000000"/>
          <w:sz w:val="32"/>
          <w:szCs w:val="32"/>
          <w:highlight w:val="none"/>
          <w:lang w:eastAsia="zh-CN"/>
        </w:rPr>
        <w:t>强调绩效结果应用；</w:t>
      </w:r>
      <w:r>
        <w:rPr>
          <w:rFonts w:hint="eastAsia" w:ascii="仿宋_GB2312" w:hAnsi="仿宋_GB2312" w:eastAsia="仿宋_GB2312" w:cs="仿宋_GB2312"/>
          <w:b/>
          <w:bCs/>
          <w:color w:val="000000"/>
          <w:sz w:val="32"/>
          <w:szCs w:val="32"/>
          <w:highlight w:val="none"/>
          <w:lang w:eastAsia="zh-CN"/>
        </w:rPr>
        <w:t>二是规范预算管理，</w:t>
      </w:r>
      <w:r>
        <w:rPr>
          <w:rFonts w:hint="eastAsia" w:ascii="仿宋_GB2312" w:hAnsi="仿宋_GB2312" w:eastAsia="仿宋_GB2312" w:cs="仿宋_GB2312"/>
          <w:color w:val="000000"/>
          <w:sz w:val="32"/>
          <w:szCs w:val="32"/>
          <w:highlight w:val="none"/>
          <w:lang w:val="en" w:eastAsia="zh-CN"/>
        </w:rPr>
        <w:t>强化</w:t>
      </w:r>
      <w:r>
        <w:rPr>
          <w:rFonts w:hint="eastAsia" w:ascii="仿宋_GB2312" w:hAnsi="仿宋_GB2312" w:eastAsia="仿宋_GB2312" w:cs="仿宋_GB2312"/>
          <w:color w:val="000000"/>
          <w:sz w:val="32"/>
          <w:szCs w:val="32"/>
          <w:highlight w:val="none"/>
          <w:lang w:eastAsia="zh-CN"/>
        </w:rPr>
        <w:t>项目全生命周期管理</w:t>
      </w:r>
      <w:r>
        <w:rPr>
          <w:rFonts w:hint="eastAsia" w:ascii="仿宋_GB2312" w:hAnsi="仿宋_GB2312" w:eastAsia="仿宋_GB2312" w:cs="仿宋_GB2312"/>
          <w:color w:val="000000"/>
          <w:sz w:val="32"/>
          <w:szCs w:val="32"/>
          <w:highlight w:val="none"/>
          <w:lang w:val="en" w:eastAsia="zh-CN"/>
        </w:rPr>
        <w:t>，</w:t>
      </w:r>
      <w:r>
        <w:rPr>
          <w:rFonts w:hint="eastAsia" w:ascii="仿宋_GB2312" w:hAnsi="仿宋_GB2312" w:eastAsia="仿宋_GB2312" w:cs="仿宋_GB2312"/>
          <w:b w:val="0"/>
          <w:bCs w:val="0"/>
          <w:sz w:val="32"/>
          <w:szCs w:val="32"/>
          <w:highlight w:val="none"/>
          <w:lang w:val="en-US" w:eastAsia="zh-CN"/>
        </w:rPr>
        <w:t>推进预算公开，</w:t>
      </w:r>
      <w:r>
        <w:rPr>
          <w:rFonts w:hint="eastAsia" w:ascii="仿宋_GB2312" w:hAnsi="仿宋_GB2312" w:eastAsia="仿宋_GB2312" w:cs="仿宋_GB2312"/>
          <w:sz w:val="32"/>
          <w:szCs w:val="32"/>
          <w:highlight w:val="none"/>
          <w:lang w:eastAsia="zh-CN"/>
        </w:rPr>
        <w:t>将预算“调剂”修改为“调整调剂”</w:t>
      </w:r>
      <w:r>
        <w:rPr>
          <w:rFonts w:hint="eastAsia"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b/>
          <w:bCs/>
          <w:sz w:val="32"/>
          <w:szCs w:val="32"/>
          <w:highlight w:val="none"/>
          <w:lang w:eastAsia="zh-CN"/>
        </w:rPr>
        <w:t>三是取消</w:t>
      </w:r>
      <w:r>
        <w:rPr>
          <w:rFonts w:hint="eastAsia" w:ascii="仿宋_GB2312" w:hAnsi="仿宋_GB2312" w:eastAsia="仿宋_GB2312" w:cs="仿宋_GB2312"/>
          <w:b/>
          <w:bCs/>
          <w:sz w:val="32"/>
          <w:szCs w:val="32"/>
          <w:highlight w:val="none"/>
          <w:lang w:val="en-US" w:eastAsia="zh-CN" w:bidi="ar"/>
        </w:rPr>
        <w:t>零余额账户用款额度，</w:t>
      </w:r>
      <w:r>
        <w:rPr>
          <w:rFonts w:hint="eastAsia" w:ascii="仿宋_GB2312" w:hAnsi="仿宋_GB2312" w:eastAsia="仿宋_GB2312" w:cs="仿宋_GB2312"/>
          <w:sz w:val="32"/>
          <w:szCs w:val="32"/>
          <w:highlight w:val="none"/>
          <w:lang w:val="en-US" w:eastAsia="zh-CN" w:bidi="ar"/>
        </w:rPr>
        <w:t>结合改革方向，</w:t>
      </w:r>
      <w:r>
        <w:rPr>
          <w:rFonts w:hint="eastAsia" w:ascii="仿宋_GB2312" w:hAnsi="仿宋_GB2312" w:eastAsia="仿宋_GB2312" w:cs="仿宋_GB2312"/>
          <w:b w:val="0"/>
          <w:bCs w:val="0"/>
          <w:sz w:val="32"/>
          <w:szCs w:val="32"/>
          <w:highlight w:val="none"/>
          <w:lang w:val="en-US" w:eastAsia="zh-CN"/>
        </w:rPr>
        <w:t>按照</w:t>
      </w:r>
      <w:r>
        <w:rPr>
          <w:rFonts w:hint="eastAsia" w:ascii="仿宋_GB2312" w:hAnsi="仿宋_GB2312" w:eastAsia="仿宋_GB2312" w:cs="仿宋_GB2312"/>
          <w:sz w:val="32"/>
          <w:szCs w:val="32"/>
          <w:highlight w:val="none"/>
          <w:lang w:val="en-US" w:eastAsia="zh-CN" w:bidi="ar"/>
        </w:rPr>
        <w:t>国库集中支付系统取消预算单位零余额账户用款额度的要求，删除相关内容；</w:t>
      </w:r>
      <w:r>
        <w:rPr>
          <w:rFonts w:hint="eastAsia" w:ascii="仿宋_GB2312" w:hAnsi="仿宋_GB2312" w:eastAsia="仿宋_GB2312" w:cs="仿宋_GB2312"/>
          <w:b/>
          <w:bCs/>
          <w:sz w:val="32"/>
          <w:szCs w:val="32"/>
          <w:highlight w:val="none"/>
          <w:lang w:val="en-US" w:eastAsia="zh-CN" w:bidi="ar"/>
        </w:rPr>
        <w:t>四是规范</w:t>
      </w:r>
      <w:r>
        <w:rPr>
          <w:rFonts w:hint="eastAsia" w:ascii="仿宋_GB2312" w:hAnsi="仿宋_GB2312" w:eastAsia="仿宋_GB2312" w:cs="仿宋_GB2312"/>
          <w:b/>
          <w:bCs/>
          <w:kern w:val="2"/>
          <w:sz w:val="32"/>
          <w:szCs w:val="32"/>
          <w:highlight w:val="none"/>
          <w:lang w:val="en-US" w:eastAsia="zh-CN" w:bidi="ar-SA"/>
        </w:rPr>
        <w:t>各级行政单位结转和结余资金管理，</w:t>
      </w:r>
      <w:r>
        <w:rPr>
          <w:rFonts w:hint="eastAsia" w:ascii="仿宋_GB2312" w:hAnsi="仿宋_GB2312" w:eastAsia="仿宋_GB2312" w:cs="仿宋_GB2312"/>
          <w:b w:val="0"/>
          <w:bCs w:val="0"/>
          <w:kern w:val="2"/>
          <w:sz w:val="32"/>
          <w:szCs w:val="32"/>
          <w:highlight w:val="none"/>
          <w:lang w:val="en-US" w:eastAsia="zh-CN" w:bidi="ar-SA"/>
        </w:rPr>
        <w:t>参照中央部门相关管理规定，对各级行政单位结转、结余资金的定义进行了修改完善。</w:t>
      </w:r>
    </w:p>
    <w:p>
      <w:pPr>
        <w:pStyle w:val="2"/>
        <w:ind w:firstLine="642" w:firstLineChars="200"/>
        <w:rPr>
          <w:rFonts w:hint="eastAsia" w:ascii="仿宋_GB2312" w:hAnsi="仿宋_GB2312" w:eastAsia="仿宋_GB2312" w:cs="仿宋_GB2312"/>
          <w:kern w:val="2"/>
          <w:sz w:val="32"/>
          <w:szCs w:val="32"/>
          <w:highlight w:val="none"/>
          <w:lang w:eastAsia="zh-CN" w:bidi="en-US"/>
        </w:rPr>
      </w:pPr>
      <w:r>
        <w:rPr>
          <w:rFonts w:hint="eastAsia" w:ascii="楷体_GB2312" w:hAnsi="楷体_GB2312" w:eastAsia="楷体_GB2312" w:cs="楷体_GB2312"/>
          <w:b/>
          <w:bCs w:val="0"/>
          <w:sz w:val="32"/>
          <w:szCs w:val="32"/>
          <w:highlight w:val="none"/>
          <w:lang w:val="en-US" w:eastAsia="zh-CN"/>
        </w:rPr>
        <w:t>（三）加强与会计法及政府会计准则制度协同。</w:t>
      </w:r>
      <w:r>
        <w:rPr>
          <w:rFonts w:hint="eastAsia" w:ascii="仿宋_GB2312" w:hAnsi="仿宋_GB2312" w:eastAsia="仿宋_GB2312" w:cs="仿宋_GB2312"/>
          <w:b/>
          <w:bCs w:val="0"/>
          <w:sz w:val="32"/>
          <w:szCs w:val="32"/>
          <w:highlight w:val="none"/>
          <w:lang w:val="en-US" w:eastAsia="zh-CN"/>
        </w:rPr>
        <w:t>一是增加会计核算总体要求。</w:t>
      </w:r>
      <w:r>
        <w:rPr>
          <w:rFonts w:hint="eastAsia" w:ascii="仿宋_GB2312" w:hAnsi="仿宋_GB2312" w:eastAsia="仿宋_GB2312" w:cs="仿宋_GB2312"/>
          <w:b w:val="0"/>
          <w:bCs/>
          <w:sz w:val="32"/>
          <w:szCs w:val="32"/>
          <w:highlight w:val="none"/>
          <w:lang w:val="en-US" w:eastAsia="zh-CN"/>
        </w:rPr>
        <w:t>在“总则”中</w:t>
      </w:r>
      <w:r>
        <w:rPr>
          <w:rFonts w:hint="eastAsia" w:ascii="仿宋_GB2312" w:hAnsi="仿宋_GB2312" w:eastAsia="仿宋_GB2312" w:cs="仿宋_GB2312"/>
          <w:i w:val="0"/>
          <w:color w:val="000000"/>
          <w:kern w:val="0"/>
          <w:sz w:val="32"/>
          <w:szCs w:val="32"/>
          <w:highlight w:val="none"/>
          <w:u w:val="none"/>
          <w:lang w:val="en-US" w:eastAsia="zh-CN" w:bidi="ar"/>
        </w:rPr>
        <w:t>增加按照统一会计制度进行会计核算的总体要求，以表示与政府会计准则制度中相关概念的区别，增强制度的指导性。</w:t>
      </w:r>
      <w:r>
        <w:rPr>
          <w:rFonts w:hint="eastAsia" w:ascii="仿宋_GB2312" w:hAnsi="仿宋_GB2312" w:eastAsia="仿宋_GB2312" w:cs="仿宋_GB2312"/>
          <w:b/>
          <w:bCs/>
          <w:i w:val="0"/>
          <w:color w:val="000000"/>
          <w:kern w:val="0"/>
          <w:sz w:val="32"/>
          <w:szCs w:val="32"/>
          <w:highlight w:val="none"/>
          <w:u w:val="none"/>
          <w:lang w:val="en-US" w:eastAsia="zh-CN" w:bidi="ar"/>
        </w:rPr>
        <w:t>二是完善财务会计机构人员配置要求。</w:t>
      </w:r>
      <w:r>
        <w:rPr>
          <w:rFonts w:hint="eastAsia" w:ascii="仿宋_GB2312" w:hAnsi="仿宋_GB2312" w:eastAsia="仿宋_GB2312" w:cs="仿宋_GB2312"/>
          <w:b w:val="0"/>
          <w:bCs w:val="0"/>
          <w:i w:val="0"/>
          <w:color w:val="000000"/>
          <w:kern w:val="0"/>
          <w:sz w:val="32"/>
          <w:szCs w:val="32"/>
          <w:highlight w:val="none"/>
          <w:u w:val="none"/>
          <w:lang w:val="en-US" w:eastAsia="zh-CN" w:bidi="ar"/>
        </w:rPr>
        <w:t>结合会计法等，删除对行政单位委托代理机构记账设置的前提条件。</w:t>
      </w:r>
      <w:r>
        <w:rPr>
          <w:rFonts w:hint="eastAsia" w:ascii="仿宋_GB2312" w:hAnsi="仿宋_GB2312" w:eastAsia="仿宋_GB2312" w:cs="仿宋_GB2312"/>
          <w:b/>
          <w:bCs/>
          <w:i w:val="0"/>
          <w:color w:val="000000"/>
          <w:kern w:val="0"/>
          <w:sz w:val="32"/>
          <w:szCs w:val="32"/>
          <w:highlight w:val="none"/>
          <w:u w:val="none"/>
          <w:lang w:val="en-US" w:eastAsia="zh-CN" w:bidi="ar"/>
        </w:rPr>
        <w:t>三是删除固定资产不计提折旧要求。</w:t>
      </w:r>
      <w:r>
        <w:rPr>
          <w:rFonts w:hint="eastAsia" w:ascii="仿宋_GB2312" w:hAnsi="仿宋_GB2312" w:eastAsia="仿宋_GB2312" w:cs="仿宋_GB2312"/>
          <w:b w:val="0"/>
          <w:bCs w:val="0"/>
          <w:i w:val="0"/>
          <w:color w:val="000000"/>
          <w:kern w:val="0"/>
          <w:sz w:val="32"/>
          <w:szCs w:val="32"/>
          <w:highlight w:val="none"/>
          <w:u w:val="none"/>
          <w:lang w:val="en-US" w:eastAsia="zh-CN" w:bidi="ar"/>
        </w:rPr>
        <w:t>按照《政府会计准则第3号</w:t>
      </w:r>
      <w:r>
        <w:rPr>
          <w:rFonts w:hint="eastAsia" w:ascii="楷体" w:hAnsi="楷体" w:eastAsia="楷体" w:cs="楷体"/>
          <w:b w:val="0"/>
          <w:bCs w:val="0"/>
          <w:i w:val="0"/>
          <w:color w:val="000000"/>
          <w:kern w:val="0"/>
          <w:sz w:val="32"/>
          <w:szCs w:val="32"/>
          <w:highlight w:val="none"/>
          <w:u w:val="none"/>
          <w:lang w:val="en-US" w:eastAsia="zh-CN" w:bidi="ar"/>
        </w:rPr>
        <w:t>——</w:t>
      </w:r>
      <w:r>
        <w:rPr>
          <w:rFonts w:hint="eastAsia" w:ascii="仿宋_GB2312" w:hAnsi="仿宋_GB2312" w:eastAsia="仿宋_GB2312" w:cs="仿宋_GB2312"/>
          <w:b w:val="0"/>
          <w:bCs w:val="0"/>
          <w:i w:val="0"/>
          <w:color w:val="000000"/>
          <w:kern w:val="0"/>
          <w:sz w:val="32"/>
          <w:szCs w:val="32"/>
          <w:highlight w:val="none"/>
          <w:u w:val="none"/>
          <w:lang w:val="en-US" w:eastAsia="zh-CN" w:bidi="ar"/>
        </w:rPr>
        <w:t>固定资产》（财会〔201</w:t>
      </w:r>
      <w:r>
        <w:rPr>
          <w:rFonts w:hint="default" w:ascii="仿宋_GB2312" w:hAnsi="仿宋_GB2312" w:eastAsia="仿宋_GB2312" w:cs="仿宋_GB2312"/>
          <w:b w:val="0"/>
          <w:bCs w:val="0"/>
          <w:i w:val="0"/>
          <w:color w:val="000000"/>
          <w:kern w:val="0"/>
          <w:sz w:val="32"/>
          <w:szCs w:val="32"/>
          <w:highlight w:val="none"/>
          <w:u w:val="none"/>
          <w:lang w:val="en" w:eastAsia="zh-CN" w:bidi="ar"/>
        </w:rPr>
        <w:t>6</w:t>
      </w:r>
      <w:r>
        <w:rPr>
          <w:rFonts w:hint="eastAsia" w:ascii="仿宋_GB2312" w:hAnsi="仿宋_GB2312" w:eastAsia="仿宋_GB2312" w:cs="仿宋_GB2312"/>
          <w:b w:val="0"/>
          <w:bCs w:val="0"/>
          <w:i w:val="0"/>
          <w:color w:val="000000"/>
          <w:kern w:val="0"/>
          <w:sz w:val="32"/>
          <w:szCs w:val="32"/>
          <w:highlight w:val="none"/>
          <w:u w:val="none"/>
          <w:lang w:val="en-US" w:eastAsia="zh-CN" w:bidi="ar"/>
        </w:rPr>
        <w:t>〕</w:t>
      </w:r>
      <w:r>
        <w:rPr>
          <w:rFonts w:hint="default" w:ascii="仿宋_GB2312" w:hAnsi="仿宋_GB2312" w:eastAsia="仿宋_GB2312" w:cs="仿宋_GB2312"/>
          <w:b w:val="0"/>
          <w:bCs w:val="0"/>
          <w:i w:val="0"/>
          <w:color w:val="000000"/>
          <w:kern w:val="0"/>
          <w:sz w:val="32"/>
          <w:szCs w:val="32"/>
          <w:highlight w:val="none"/>
          <w:u w:val="none"/>
          <w:lang w:val="en" w:eastAsia="zh-CN" w:bidi="ar"/>
        </w:rPr>
        <w:t>12</w:t>
      </w:r>
      <w:r>
        <w:rPr>
          <w:rFonts w:hint="eastAsia" w:ascii="仿宋_GB2312" w:hAnsi="仿宋_GB2312" w:eastAsia="仿宋_GB2312" w:cs="仿宋_GB2312"/>
          <w:b w:val="0"/>
          <w:bCs w:val="0"/>
          <w:i w:val="0"/>
          <w:color w:val="000000"/>
          <w:kern w:val="0"/>
          <w:sz w:val="32"/>
          <w:szCs w:val="32"/>
          <w:highlight w:val="none"/>
          <w:u w:val="none"/>
          <w:lang w:val="en-US" w:eastAsia="zh-CN" w:bidi="ar"/>
        </w:rPr>
        <w:t>号）有关规定，删除“固定资产不计提折旧”相关表述。</w:t>
      </w:r>
    </w:p>
    <w:p>
      <w:pPr>
        <w:numPr>
          <w:ilvl w:val="0"/>
          <w:numId w:val="0"/>
        </w:numPr>
        <w:spacing w:beforeLines="0"/>
        <w:ind w:firstLine="642" w:firstLineChars="200"/>
        <w:rPr>
          <w:rFonts w:hint="eastAsia" w:ascii="仿宋_GB2312" w:hAnsi="仿宋_GB2312" w:eastAsia="仿宋_GB2312" w:cs="仿宋_GB2312"/>
          <w:sz w:val="32"/>
          <w:szCs w:val="32"/>
          <w:highlight w:val="none"/>
          <w:lang w:eastAsia="zh-CN"/>
        </w:rPr>
      </w:pPr>
      <w:r>
        <w:rPr>
          <w:rFonts w:hint="eastAsia" w:ascii="楷体_GB2312" w:hAnsi="楷体_GB2312" w:eastAsia="楷体_GB2312" w:cs="楷体_GB2312"/>
          <w:b/>
          <w:bCs/>
          <w:sz w:val="32"/>
          <w:szCs w:val="32"/>
          <w:highlight w:val="none"/>
          <w:lang w:eastAsia="zh-CN"/>
        </w:rPr>
        <w:t>（四）</w:t>
      </w:r>
      <w:r>
        <w:rPr>
          <w:rFonts w:hint="eastAsia" w:ascii="Times New Roman" w:hAnsi="Times New Roman" w:eastAsia="楷体_GB2312" w:cs="Times New Roman"/>
          <w:b/>
          <w:bCs/>
          <w:sz w:val="32"/>
          <w:szCs w:val="32"/>
          <w:lang w:val="en-US" w:eastAsia="zh-CN"/>
        </w:rPr>
        <w:t>明确政府综合财务报告制度有关要求。</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bCs/>
          <w:sz w:val="32"/>
          <w:szCs w:val="32"/>
          <w:highlight w:val="none"/>
          <w:lang w:eastAsia="zh-CN"/>
        </w:rPr>
        <w:t>完善</w:t>
      </w:r>
      <w:r>
        <w:rPr>
          <w:rFonts w:hint="eastAsia" w:ascii="仿宋_GB2312" w:hAnsi="仿宋_GB2312" w:eastAsia="仿宋_GB2312" w:cs="仿宋_GB2312"/>
          <w:b/>
          <w:bCs/>
          <w:kern w:val="2"/>
          <w:sz w:val="32"/>
          <w:szCs w:val="32"/>
          <w:highlight w:val="none"/>
          <w:lang w:val="en-US" w:eastAsia="zh-CN" w:bidi="ar-SA"/>
        </w:rPr>
        <w:t>双报告体系。</w:t>
      </w:r>
      <w:r>
        <w:rPr>
          <w:rFonts w:hint="eastAsia" w:ascii="仿宋_GB2312" w:hAnsi="仿宋_GB2312" w:eastAsia="仿宋_GB2312" w:cs="仿宋_GB2312"/>
          <w:b w:val="0"/>
          <w:bCs w:val="0"/>
          <w:kern w:val="2"/>
          <w:sz w:val="32"/>
          <w:szCs w:val="32"/>
          <w:highlight w:val="none"/>
          <w:lang w:val="en-US" w:eastAsia="zh-CN" w:bidi="ar-SA"/>
        </w:rPr>
        <w:t>按照</w:t>
      </w:r>
      <w:r>
        <w:rPr>
          <w:rFonts w:hint="eastAsia" w:ascii="仿宋_GB2312" w:hAnsi="仿宋_GB2312" w:eastAsia="仿宋_GB2312" w:cs="仿宋_GB2312"/>
          <w:kern w:val="2"/>
          <w:sz w:val="32"/>
          <w:szCs w:val="32"/>
          <w:highlight w:val="none"/>
          <w:lang w:val="en-US" w:eastAsia="zh-CN" w:bidi="ar-SA"/>
        </w:rPr>
        <w:t>政府综合财务报告制度改革要求，体现政府会计“双功能、双基础、双报告”核算体系，将第九章“财务报告和财务分析”调整为“财务报告和决算报告”，相应细化完善财务报告、决算报告的定义及构成、包括的内容等</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sz w:val="32"/>
          <w:szCs w:val="32"/>
          <w:highlight w:val="none"/>
          <w:lang w:val="en-US" w:eastAsia="zh-CN"/>
        </w:rPr>
        <w:t>删除附件“行政单位财务分析指标”，避免与现行文件重复规定，且便于相关单位结合实际有针对性地丰富完善指标。</w:t>
      </w:r>
      <w:r>
        <w:rPr>
          <w:rFonts w:hint="eastAsia" w:ascii="仿宋_GB2312" w:hAnsi="仿宋_GB2312" w:eastAsia="仿宋_GB2312" w:cs="仿宋_GB2312"/>
          <w:b/>
          <w:bCs/>
          <w:sz w:val="32"/>
          <w:szCs w:val="32"/>
          <w:highlight w:val="none"/>
          <w:lang w:val="en-US" w:eastAsia="zh-CN"/>
        </w:rPr>
        <w:t>二是</w:t>
      </w:r>
      <w:r>
        <w:rPr>
          <w:rFonts w:hint="eastAsia" w:ascii="仿宋_GB2312" w:hAnsi="仿宋_GB2312" w:eastAsia="仿宋_GB2312" w:cs="仿宋_GB2312"/>
          <w:b/>
          <w:bCs/>
          <w:sz w:val="32"/>
          <w:szCs w:val="32"/>
          <w:highlight w:val="none"/>
        </w:rPr>
        <w:t>提升成本管理意识</w:t>
      </w:r>
      <w:r>
        <w:rPr>
          <w:rFonts w:hint="eastAsia" w:ascii="仿宋_GB2312" w:hAnsi="仿宋_GB2312" w:eastAsia="仿宋_GB2312" w:cs="仿宋_GB2312"/>
          <w:b/>
          <w:bCs/>
          <w:kern w:val="0"/>
          <w:sz w:val="32"/>
          <w:szCs w:val="32"/>
          <w:highlight w:val="none"/>
          <w:lang w:bidi="en-US"/>
        </w:rPr>
        <w:t>。</w:t>
      </w:r>
      <w:r>
        <w:rPr>
          <w:rFonts w:hint="eastAsia" w:ascii="仿宋_GB2312" w:hAnsi="仿宋_GB2312" w:eastAsia="仿宋_GB2312" w:cs="仿宋_GB2312"/>
          <w:b w:val="0"/>
          <w:bCs w:val="0"/>
          <w:i w:val="0"/>
          <w:color w:val="000000"/>
          <w:kern w:val="0"/>
          <w:sz w:val="32"/>
          <w:szCs w:val="32"/>
          <w:highlight w:val="none"/>
          <w:u w:val="none"/>
          <w:lang w:val="en-US" w:eastAsia="zh-CN" w:bidi="ar"/>
        </w:rPr>
        <w:t>《国务院关于批转财政部权责发生制政府综合财务报告制度改革方案的通知》</w:t>
      </w:r>
      <w:r>
        <w:rPr>
          <w:rFonts w:hint="eastAsia" w:ascii="仿宋_GB2312" w:hAnsi="仿宋_GB2312" w:eastAsia="仿宋_GB2312" w:cs="仿宋_GB2312"/>
          <w:sz w:val="32"/>
          <w:szCs w:val="32"/>
          <w:lang w:eastAsia="zh-CN"/>
        </w:rPr>
        <w:t>（国发〔2014〕63号）</w:t>
      </w:r>
      <w:r>
        <w:rPr>
          <w:rFonts w:hint="eastAsia" w:ascii="仿宋_GB2312" w:hAnsi="仿宋_GB2312" w:eastAsia="仿宋_GB2312" w:cs="仿宋_GB2312"/>
          <w:b w:val="0"/>
          <w:bCs w:val="0"/>
          <w:i w:val="0"/>
          <w:color w:val="000000"/>
          <w:kern w:val="0"/>
          <w:sz w:val="32"/>
          <w:szCs w:val="32"/>
          <w:highlight w:val="none"/>
          <w:u w:val="none"/>
          <w:lang w:val="en-US" w:eastAsia="zh-CN" w:bidi="ar"/>
        </w:rPr>
        <w:t>明确提出加强政府成本核算要求；《事业单位成本核算基本指引》（财会〔2019〕25号）第二十九条规定“行政单位、参照执行政府会计准则制度的非行政事业单位主体开展成本核算工作，可以参照执行本指引”。为此，</w:t>
      </w:r>
      <w:r>
        <w:rPr>
          <w:rFonts w:hint="eastAsia" w:ascii="仿宋_GB2312" w:hAnsi="仿宋_GB2312" w:eastAsia="仿宋_GB2312" w:cs="仿宋_GB2312"/>
          <w:b w:val="0"/>
          <w:bCs w:val="0"/>
          <w:kern w:val="0"/>
          <w:sz w:val="32"/>
          <w:szCs w:val="32"/>
          <w:highlight w:val="none"/>
          <w:lang w:eastAsia="zh-CN" w:bidi="en-US"/>
        </w:rPr>
        <w:t>增加</w:t>
      </w:r>
      <w:r>
        <w:rPr>
          <w:rFonts w:hint="eastAsia" w:ascii="仿宋_GB2312" w:hAnsi="仿宋_GB2312" w:eastAsia="仿宋_GB2312" w:cs="仿宋_GB2312"/>
          <w:b w:val="0"/>
          <w:bCs w:val="0"/>
          <w:kern w:val="0"/>
          <w:sz w:val="32"/>
          <w:szCs w:val="32"/>
          <w:highlight w:val="none"/>
          <w:lang w:bidi="en-US"/>
        </w:rPr>
        <w:t>成本核算</w:t>
      </w:r>
      <w:r>
        <w:rPr>
          <w:rFonts w:hint="eastAsia" w:ascii="仿宋_GB2312" w:hAnsi="仿宋_GB2312" w:eastAsia="仿宋_GB2312" w:cs="仿宋_GB2312"/>
          <w:b w:val="0"/>
          <w:bCs w:val="0"/>
          <w:kern w:val="0"/>
          <w:sz w:val="32"/>
          <w:szCs w:val="32"/>
          <w:highlight w:val="none"/>
          <w:lang w:eastAsia="zh-CN" w:bidi="en-US"/>
        </w:rPr>
        <w:t>相关</w:t>
      </w:r>
      <w:r>
        <w:rPr>
          <w:rFonts w:hint="eastAsia" w:ascii="仿宋_GB2312" w:hAnsi="仿宋_GB2312" w:eastAsia="仿宋_GB2312" w:cs="仿宋_GB2312"/>
          <w:b w:val="0"/>
          <w:bCs w:val="0"/>
          <w:kern w:val="0"/>
          <w:sz w:val="32"/>
          <w:szCs w:val="32"/>
          <w:highlight w:val="none"/>
          <w:lang w:bidi="en-US"/>
        </w:rPr>
        <w:t>内容</w:t>
      </w:r>
      <w:r>
        <w:rPr>
          <w:rFonts w:hint="eastAsia" w:ascii="仿宋_GB2312" w:hAnsi="仿宋_GB2312" w:eastAsia="仿宋_GB2312" w:cs="仿宋_GB2312"/>
          <w:b w:val="0"/>
          <w:bCs w:val="0"/>
          <w:i w:val="0"/>
          <w:color w:val="000000"/>
          <w:kern w:val="0"/>
          <w:sz w:val="32"/>
          <w:szCs w:val="32"/>
          <w:highlight w:val="none"/>
          <w:u w:val="none"/>
          <w:lang w:val="en-US" w:eastAsia="zh-CN" w:bidi="ar"/>
        </w:rPr>
        <w:t>。</w:t>
      </w:r>
    </w:p>
    <w:p>
      <w:pPr>
        <w:keepNext w:val="0"/>
        <w:keepLines w:val="0"/>
        <w:pageBreakBefore w:val="0"/>
        <w:widowControl/>
        <w:numPr>
          <w:ilvl w:val="0"/>
          <w:numId w:val="0"/>
        </w:numPr>
        <w:kinsoku/>
        <w:wordWrap/>
        <w:overflowPunct/>
        <w:topLinePunct w:val="0"/>
        <w:autoSpaceDE/>
        <w:autoSpaceDN/>
        <w:bidi w:val="0"/>
        <w:spacing w:beforeLines="0" w:line="240" w:lineRule="auto"/>
        <w:ind w:firstLine="642"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楷体_GB2312" w:hAnsi="楷体_GB2312" w:eastAsia="楷体_GB2312" w:cs="楷体_GB2312"/>
          <w:b/>
          <w:bCs w:val="0"/>
          <w:sz w:val="32"/>
          <w:szCs w:val="32"/>
          <w:highlight w:val="none"/>
          <w:lang w:val="en-US" w:eastAsia="zh-CN"/>
        </w:rPr>
        <w:t>（五）衔接国有资产管理新规定。</w:t>
      </w:r>
      <w:r>
        <w:rPr>
          <w:rFonts w:hint="eastAsia" w:ascii="仿宋_GB2312" w:hAnsi="仿宋_GB2312" w:eastAsia="仿宋_GB2312" w:cs="仿宋_GB2312"/>
          <w:b w:val="0"/>
          <w:bCs/>
          <w:sz w:val="32"/>
          <w:szCs w:val="32"/>
          <w:highlight w:val="none"/>
          <w:lang w:val="en-US" w:eastAsia="zh-CN"/>
        </w:rPr>
        <w:t>根据</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rPr>
        <w:t>行政事业性国有资产管理条例》</w:t>
      </w:r>
      <w:r>
        <w:rPr>
          <w:rFonts w:hint="eastAsia" w:ascii="仿宋_GB2312" w:hAnsi="仿宋_GB2312" w:eastAsia="仿宋_GB2312" w:cs="仿宋_GB2312"/>
          <w:sz w:val="32"/>
          <w:szCs w:val="32"/>
          <w:lang w:val="en-US" w:eastAsia="zh-CN"/>
        </w:rPr>
        <w:t>（国务院令第738号）</w:t>
      </w:r>
      <w:r>
        <w:rPr>
          <w:rFonts w:hint="eastAsia" w:ascii="仿宋_GB2312" w:hAnsi="仿宋_GB2312" w:eastAsia="仿宋_GB2312" w:cs="仿宋_GB2312"/>
          <w:bCs/>
          <w:sz w:val="32"/>
          <w:szCs w:val="32"/>
          <w:highlight w:val="none"/>
          <w:lang w:eastAsia="zh-CN"/>
        </w:rPr>
        <w:t>、</w:t>
      </w:r>
      <w:r>
        <w:rPr>
          <w:rFonts w:hint="default" w:ascii="Times New Roman" w:hAnsi="Times New Roman" w:eastAsia="仿宋_GB2312" w:cs="Times New Roman"/>
          <w:sz w:val="32"/>
          <w:szCs w:val="32"/>
        </w:rPr>
        <w:t>《财政部关于印发〈中央行政事业单位国有资产处置管理办法〉的通知》（财资</w:t>
      </w:r>
      <w:r>
        <w:rPr>
          <w:rFonts w:hint="eastAsia" w:ascii="仿宋_GB2312" w:hAnsi="仿宋_GB2312" w:eastAsia="仿宋_GB2312" w:cs="仿宋_GB2312"/>
          <w:sz w:val="32"/>
          <w:szCs w:val="32"/>
        </w:rPr>
        <w:t>〔2021〕127</w:t>
      </w:r>
      <w:r>
        <w:rPr>
          <w:rFonts w:hint="default" w:ascii="Times New Roman" w:hAnsi="Times New Roman" w:eastAsia="仿宋_GB2312" w:cs="Times New Roman"/>
          <w:sz w:val="32"/>
          <w:szCs w:val="32"/>
        </w:rPr>
        <w:t>号）</w:t>
      </w:r>
      <w:r>
        <w:rPr>
          <w:rFonts w:hint="eastAsia" w:ascii="仿宋_GB2312" w:hAnsi="仿宋_GB2312" w:eastAsia="仿宋_GB2312" w:cs="仿宋_GB2312"/>
          <w:bCs w:val="0"/>
          <w:color w:val="000000"/>
          <w:kern w:val="0"/>
          <w:sz w:val="32"/>
          <w:szCs w:val="32"/>
          <w:highlight w:val="none"/>
          <w:lang w:bidi="ar"/>
        </w:rPr>
        <w:t>等，</w:t>
      </w:r>
      <w:r>
        <w:rPr>
          <w:rFonts w:hint="eastAsia" w:ascii="仿宋_GB2312" w:hAnsi="仿宋_GB2312" w:eastAsia="仿宋_GB2312" w:cs="仿宋_GB2312"/>
          <w:bCs w:val="0"/>
          <w:color w:val="000000"/>
          <w:kern w:val="0"/>
          <w:sz w:val="32"/>
          <w:szCs w:val="32"/>
          <w:highlight w:val="none"/>
          <w:lang w:eastAsia="zh-CN" w:bidi="ar"/>
        </w:rPr>
        <w:t>结合</w:t>
      </w:r>
      <w:r>
        <w:rPr>
          <w:rFonts w:hint="eastAsia" w:ascii="仿宋_GB2312" w:hAnsi="仿宋_GB2312" w:eastAsia="仿宋_GB2312" w:cs="仿宋_GB2312"/>
          <w:bCs w:val="0"/>
          <w:color w:val="000000"/>
          <w:kern w:val="0"/>
          <w:sz w:val="32"/>
          <w:szCs w:val="32"/>
          <w:highlight w:val="none"/>
          <w:lang w:bidi="ar"/>
        </w:rPr>
        <w:t>行政单位履职情况和业务活动特点，</w:t>
      </w:r>
      <w:r>
        <w:rPr>
          <w:rFonts w:hint="eastAsia" w:ascii="仿宋_GB2312" w:hAnsi="仿宋_GB2312" w:eastAsia="仿宋_GB2312" w:cs="仿宋_GB2312"/>
          <w:b/>
          <w:bCs/>
          <w:color w:val="000000"/>
          <w:kern w:val="0"/>
          <w:sz w:val="32"/>
          <w:szCs w:val="32"/>
          <w:highlight w:val="none"/>
          <w:lang w:eastAsia="zh-CN" w:bidi="ar"/>
        </w:rPr>
        <w:t>一</w:t>
      </w:r>
      <w:r>
        <w:rPr>
          <w:rFonts w:hint="eastAsia" w:ascii="仿宋_GB2312" w:hAnsi="仿宋_GB2312" w:eastAsia="仿宋_GB2312" w:cs="仿宋_GB2312"/>
          <w:b/>
          <w:bCs w:val="0"/>
          <w:sz w:val="32"/>
          <w:szCs w:val="32"/>
          <w:highlight w:val="none"/>
          <w:lang w:eastAsia="zh-CN"/>
        </w:rPr>
        <w:t>是强化管理责任，</w:t>
      </w:r>
      <w:r>
        <w:rPr>
          <w:rFonts w:hint="eastAsia" w:ascii="Times New Roman" w:hAnsi="Times New Roman" w:eastAsia="仿宋_GB2312" w:cs="Times New Roman"/>
          <w:sz w:val="32"/>
          <w:szCs w:val="32"/>
          <w:lang w:val="en-US" w:eastAsia="zh-CN"/>
        </w:rPr>
        <w:t>增加明确岗位职责、设置国有资产台账、汇总编制国有资产管理情况报告、及时</w:t>
      </w:r>
      <w:r>
        <w:rPr>
          <w:rFonts w:hint="default" w:ascii="Times New Roman" w:hAnsi="Times New Roman" w:eastAsia="仿宋_GB2312" w:cs="Times New Roman"/>
          <w:sz w:val="32"/>
          <w:szCs w:val="32"/>
          <w:lang w:eastAsia="zh-CN"/>
        </w:rPr>
        <w:t>办理资产权属登记</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资产共享共用</w:t>
      </w:r>
      <w:r>
        <w:rPr>
          <w:rFonts w:hint="eastAsia" w:ascii="Times New Roman" w:hAnsi="Times New Roman" w:eastAsia="仿宋_GB2312" w:cs="Times New Roman"/>
          <w:sz w:val="32"/>
          <w:szCs w:val="32"/>
          <w:lang w:val="en-US" w:eastAsia="zh-CN"/>
        </w:rPr>
        <w:t>等表述</w:t>
      </w:r>
      <w:r>
        <w:rPr>
          <w:rFonts w:hint="eastAsia" w:ascii="仿宋_GB2312" w:hAnsi="仿宋_GB2312" w:eastAsia="仿宋_GB2312" w:cs="仿宋_GB2312"/>
          <w:b w:val="0"/>
          <w:bCs w:val="0"/>
          <w:sz w:val="32"/>
          <w:szCs w:val="32"/>
          <w:highlight w:val="none"/>
          <w:lang w:val="en" w:eastAsia="zh-CN"/>
        </w:rPr>
        <w:t>；</w:t>
      </w:r>
      <w:r>
        <w:rPr>
          <w:rFonts w:hint="eastAsia" w:ascii="仿宋_GB2312" w:hAnsi="仿宋_GB2312" w:eastAsia="仿宋_GB2312" w:cs="仿宋_GB2312"/>
          <w:b/>
          <w:bCs/>
          <w:sz w:val="32"/>
          <w:szCs w:val="32"/>
          <w:highlight w:val="none"/>
          <w:lang w:val="en-US" w:eastAsia="zh-CN"/>
        </w:rPr>
        <w:t>二是明确管理要求，</w:t>
      </w:r>
      <w:r>
        <w:rPr>
          <w:rFonts w:hint="eastAsia" w:ascii="仿宋_GB2312" w:hAnsi="仿宋_GB2312" w:eastAsia="仿宋_GB2312" w:cs="仿宋_GB2312"/>
          <w:b w:val="0"/>
          <w:bCs w:val="0"/>
          <w:sz w:val="32"/>
          <w:szCs w:val="32"/>
          <w:highlight w:val="none"/>
          <w:lang w:val="en-US" w:eastAsia="zh-CN"/>
        </w:rPr>
        <w:t>细化配置资产的原则和方式，提出优先通过调剂方式配置资产，</w:t>
      </w:r>
      <w:r>
        <w:rPr>
          <w:rFonts w:hint="eastAsia" w:ascii="Times New Roman" w:hAnsi="Times New Roman" w:eastAsia="仿宋_GB2312" w:cs="Times New Roman"/>
          <w:sz w:val="32"/>
          <w:szCs w:val="32"/>
          <w:lang w:val="en-US" w:eastAsia="zh-CN"/>
        </w:rPr>
        <w:t>进一步</w:t>
      </w:r>
      <w:r>
        <w:rPr>
          <w:rFonts w:hint="eastAsia" w:ascii="仿宋_GB2312" w:hAnsi="仿宋_GB2312" w:eastAsia="仿宋_GB2312" w:cs="仿宋_GB2312"/>
          <w:b w:val="0"/>
          <w:bCs w:val="0"/>
          <w:sz w:val="32"/>
          <w:szCs w:val="32"/>
          <w:highlight w:val="none"/>
          <w:lang w:val="en" w:eastAsia="zh-CN"/>
        </w:rPr>
        <w:t>明确</w:t>
      </w:r>
      <w:r>
        <w:rPr>
          <w:rFonts w:hint="eastAsia" w:ascii="仿宋_GB2312" w:hAnsi="仿宋_GB2312" w:eastAsia="仿宋_GB2312" w:cs="仿宋_GB2312"/>
          <w:b w:val="0"/>
          <w:bCs w:val="0"/>
          <w:sz w:val="32"/>
          <w:szCs w:val="32"/>
          <w:highlight w:val="none"/>
          <w:lang w:eastAsia="zh-CN"/>
        </w:rPr>
        <w:t>货币性资产</w:t>
      </w:r>
      <w:r>
        <w:rPr>
          <w:rFonts w:hint="default" w:ascii="仿宋_GB2312" w:hAnsi="仿宋_GB2312" w:eastAsia="仿宋_GB2312" w:cs="仿宋_GB2312"/>
          <w:b w:val="0"/>
          <w:bCs w:val="0"/>
          <w:sz w:val="32"/>
          <w:szCs w:val="32"/>
          <w:highlight w:val="none"/>
          <w:lang w:val="en" w:eastAsia="zh-CN"/>
        </w:rPr>
        <w:t>损失</w:t>
      </w:r>
      <w:r>
        <w:rPr>
          <w:rFonts w:hint="eastAsia" w:ascii="仿宋_GB2312" w:hAnsi="仿宋_GB2312" w:eastAsia="仿宋_GB2312" w:cs="仿宋_GB2312"/>
          <w:b w:val="0"/>
          <w:bCs w:val="0"/>
          <w:sz w:val="32"/>
          <w:szCs w:val="32"/>
          <w:highlight w:val="none"/>
          <w:lang w:val="en" w:eastAsia="zh-CN"/>
        </w:rPr>
        <w:t>核销、国有资产对外出租和出借的审批程序；</w:t>
      </w:r>
      <w:r>
        <w:rPr>
          <w:rFonts w:hint="eastAsia" w:ascii="仿宋_GB2312" w:hAnsi="仿宋_GB2312" w:eastAsia="仿宋_GB2312" w:cs="仿宋_GB2312"/>
          <w:b/>
          <w:bCs/>
          <w:sz w:val="32"/>
          <w:szCs w:val="32"/>
          <w:highlight w:val="none"/>
          <w:lang w:val="en" w:eastAsia="zh-CN"/>
        </w:rPr>
        <w:t>三是</w:t>
      </w:r>
      <w:r>
        <w:rPr>
          <w:rFonts w:hint="eastAsia" w:ascii="仿宋_GB2312" w:hAnsi="仿宋_GB2312" w:eastAsia="仿宋_GB2312" w:cs="仿宋_GB2312"/>
          <w:b/>
          <w:bCs w:val="0"/>
          <w:sz w:val="32"/>
          <w:szCs w:val="32"/>
          <w:highlight w:val="none"/>
          <w:lang w:eastAsia="zh-CN"/>
        </w:rPr>
        <w:t>完善资产定义和范畴，</w:t>
      </w:r>
      <w:r>
        <w:rPr>
          <w:rFonts w:hint="eastAsia" w:ascii="仿宋_GB2312" w:hAnsi="仿宋_GB2312" w:eastAsia="仿宋_GB2312" w:cs="仿宋_GB2312"/>
          <w:bCs/>
          <w:sz w:val="32"/>
          <w:szCs w:val="32"/>
          <w:highlight w:val="none"/>
          <w:lang w:eastAsia="zh-CN"/>
        </w:rPr>
        <w:t>修改资产、流动资产、无形资产等相关定义和内容，</w:t>
      </w:r>
      <w:r>
        <w:rPr>
          <w:rFonts w:hint="eastAsia" w:ascii="仿宋_GB2312" w:hAnsi="仿宋_GB2312" w:eastAsia="仿宋_GB2312" w:cs="仿宋_GB2312"/>
          <w:b w:val="0"/>
          <w:bCs w:val="0"/>
          <w:sz w:val="32"/>
          <w:szCs w:val="32"/>
          <w:highlight w:val="none"/>
          <w:lang w:val="en-US" w:eastAsia="zh-CN"/>
        </w:rPr>
        <w:t>删除专用设备有关规定。</w:t>
      </w:r>
    </w:p>
    <w:p>
      <w:pPr>
        <w:numPr>
          <w:ilvl w:val="0"/>
          <w:numId w:val="0"/>
        </w:numPr>
        <w:ind w:firstLine="642" w:firstLineChars="200"/>
        <w:rPr>
          <w:rFonts w:hint="eastAsia" w:ascii="仿宋_GB2312" w:hAnsi="仿宋_GB2312" w:eastAsia="仿宋_GB2312" w:cs="仿宋_GB2312"/>
          <w:b w:val="0"/>
          <w:bCs w:val="0"/>
          <w:i w:val="0"/>
          <w:color w:val="000000"/>
          <w:kern w:val="0"/>
          <w:sz w:val="32"/>
          <w:szCs w:val="32"/>
          <w:highlight w:val="none"/>
          <w:u w:val="none"/>
          <w:lang w:val="en-US" w:eastAsia="zh-CN" w:bidi="ar"/>
        </w:rPr>
      </w:pPr>
      <w:r>
        <w:rPr>
          <w:rFonts w:hint="eastAsia" w:ascii="楷体_GB2312" w:hAnsi="楷体_GB2312" w:eastAsia="楷体_GB2312" w:cs="楷体_GB2312"/>
          <w:b/>
          <w:bCs/>
          <w:kern w:val="0"/>
          <w:sz w:val="32"/>
          <w:szCs w:val="32"/>
          <w:highlight w:val="none"/>
          <w:shd w:val="clear" w:color="auto" w:fill="FFFFFF"/>
          <w:lang w:eastAsia="zh-CN"/>
        </w:rPr>
        <w:t>（六）</w:t>
      </w:r>
      <w:r>
        <w:rPr>
          <w:rFonts w:hint="eastAsia" w:ascii="楷体_GB2312" w:hAnsi="楷体_GB2312" w:eastAsia="楷体_GB2312" w:cs="楷体_GB2312"/>
          <w:b/>
          <w:bCs/>
          <w:sz w:val="32"/>
          <w:szCs w:val="32"/>
          <w:highlight w:val="none"/>
        </w:rPr>
        <w:t>建立健全内部控制机制</w:t>
      </w:r>
      <w:r>
        <w:rPr>
          <w:rFonts w:hint="eastAsia" w:ascii="楷体_GB2312" w:hAnsi="楷体_GB2312" w:eastAsia="楷体_GB2312" w:cs="楷体_GB2312"/>
          <w:b/>
          <w:bCs/>
          <w:sz w:val="32"/>
          <w:szCs w:val="32"/>
          <w:highlight w:val="none"/>
          <w:lang w:eastAsia="zh-CN"/>
        </w:rPr>
        <w:t>。</w:t>
      </w:r>
      <w:r>
        <w:rPr>
          <w:rFonts w:hint="eastAsia" w:ascii="仿宋_GB2312" w:hAnsi="仿宋_GB2312" w:eastAsia="仿宋_GB2312" w:cs="仿宋_GB2312"/>
          <w:bCs/>
          <w:sz w:val="32"/>
          <w:szCs w:val="32"/>
          <w:highlight w:val="none"/>
        </w:rPr>
        <w:t>根据《行政事业单位内部控制规范（试行）》</w:t>
      </w:r>
      <w:r>
        <w:rPr>
          <w:rFonts w:hint="eastAsia" w:ascii="仿宋_GB2312" w:hAnsi="仿宋_GB2312" w:eastAsia="仿宋_GB2312" w:cs="仿宋_GB2312"/>
          <w:bCs/>
          <w:sz w:val="32"/>
          <w:szCs w:val="32"/>
          <w:highlight w:val="none"/>
          <w:lang w:eastAsia="zh-CN"/>
        </w:rPr>
        <w:t>（财会〔</w:t>
      </w:r>
      <w:r>
        <w:rPr>
          <w:rFonts w:hint="eastAsia" w:ascii="仿宋_GB2312" w:hAnsi="仿宋_GB2312" w:eastAsia="仿宋_GB2312" w:cs="仿宋_GB2312"/>
          <w:bCs/>
          <w:sz w:val="32"/>
          <w:szCs w:val="32"/>
          <w:highlight w:val="none"/>
          <w:lang w:val="en-US" w:eastAsia="zh-CN"/>
        </w:rPr>
        <w:t>2012</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lang w:val="en-US" w:eastAsia="zh-CN"/>
        </w:rPr>
        <w:t>21</w:t>
      </w:r>
      <w:r>
        <w:rPr>
          <w:rFonts w:hint="eastAsia" w:ascii="仿宋_GB2312" w:hAnsi="仿宋_GB2312" w:eastAsia="仿宋_GB2312" w:cs="仿宋_GB2312"/>
          <w:bCs/>
          <w:sz w:val="32"/>
          <w:szCs w:val="32"/>
          <w:highlight w:val="none"/>
          <w:lang w:eastAsia="zh-CN"/>
        </w:rPr>
        <w:t>号）、</w:t>
      </w: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bCs/>
          <w:sz w:val="32"/>
          <w:szCs w:val="32"/>
          <w:highlight w:val="none"/>
          <w:lang w:eastAsia="zh-CN"/>
        </w:rPr>
        <w:t>财政部</w:t>
      </w:r>
      <w:r>
        <w:rPr>
          <w:rFonts w:hint="eastAsia" w:ascii="仿宋_GB2312" w:hAnsi="仿宋_GB2312" w:eastAsia="仿宋_GB2312" w:cs="仿宋_GB2312"/>
          <w:bCs/>
          <w:sz w:val="32"/>
          <w:szCs w:val="32"/>
          <w:highlight w:val="none"/>
        </w:rPr>
        <w:t>关于全面推进行政事业单位内部控制建设的指导意见》</w:t>
      </w:r>
      <w:r>
        <w:rPr>
          <w:rFonts w:hint="eastAsia" w:ascii="仿宋_GB2312" w:hAnsi="仿宋_GB2312" w:eastAsia="仿宋_GB2312" w:cs="仿宋_GB2312"/>
          <w:bCs/>
          <w:sz w:val="32"/>
          <w:szCs w:val="32"/>
          <w:highlight w:val="none"/>
          <w:lang w:eastAsia="zh-CN"/>
        </w:rPr>
        <w:t>（财会〔</w:t>
      </w:r>
      <w:r>
        <w:rPr>
          <w:rFonts w:hint="eastAsia" w:ascii="仿宋_GB2312" w:hAnsi="仿宋_GB2312" w:eastAsia="仿宋_GB2312" w:cs="仿宋_GB2312"/>
          <w:bCs/>
          <w:sz w:val="32"/>
          <w:szCs w:val="32"/>
          <w:highlight w:val="none"/>
          <w:lang w:val="en-US" w:eastAsia="zh-CN"/>
        </w:rPr>
        <w:t>2015</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lang w:val="en-US" w:eastAsia="zh-CN"/>
        </w:rPr>
        <w:t>24</w:t>
      </w:r>
      <w:r>
        <w:rPr>
          <w:rFonts w:hint="eastAsia" w:ascii="仿宋_GB2312" w:hAnsi="仿宋_GB2312" w:eastAsia="仿宋_GB2312" w:cs="仿宋_GB2312"/>
          <w:bCs/>
          <w:sz w:val="32"/>
          <w:szCs w:val="32"/>
          <w:highlight w:val="none"/>
          <w:lang w:eastAsia="zh-CN"/>
        </w:rPr>
        <w:t>号）等要求，增加健全内部控制制度的内容，明确提出编制内部控制报告的要求。</w:t>
      </w:r>
    </w:p>
    <w:p>
      <w:pPr>
        <w:pStyle w:val="4"/>
        <w:rPr>
          <w:highlight w:val="none"/>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黑体">
    <w:altName w:val="方正黑体_GBK"/>
    <w:panose1 w:val="02010609060101010101"/>
    <w:charset w:val="00"/>
    <w:family w:val="auto"/>
    <w:pitch w:val="default"/>
    <w:sig w:usb0="800002BF" w:usb1="38CF7CFA" w:usb2="00000016" w:usb3="00000000" w:csb0="00040001" w:csb1="00000000"/>
  </w:font>
  <w:font w:name="楷体_GB2312">
    <w:altName w:val="方正楷体_GBK"/>
    <w:panose1 w:val="02010609030101010101"/>
    <w:charset w:val="00"/>
    <w:family w:val="modern"/>
    <w:pitch w:val="default"/>
    <w:sig w:usb0="00000001" w:usb1="080E0000" w:usb2="00000000" w:usb3="00000000" w:csb0="00040000" w:csb1="00000000"/>
  </w:font>
  <w:font w:name="楷体">
    <w:altName w:val="方正楷体_GBK"/>
    <w:panose1 w:val="02010609060101010101"/>
    <w:charset w:val="00"/>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DOqXm5zwAAAAUBAAAPAAAAAAAAAAEAIAAAADgAAABkcnMvZG93bnJl&#10;di54bWxQSwECFAAUAAAACACHTuJAQpVxR7cBAABgAwAADgAAAAAAAAABACAAAAA0AQAAZHJzL2Uy&#10;b0RvYy54bWxQSwUGAAAAAAYABgBZAQAAXQ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6578CC"/>
    <w:multiLevelType w:val="singleLevel"/>
    <w:tmpl w:val="EC6578C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trackRevisions w:val="tru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7FF50A"/>
    <w:rsid w:val="0FF2B630"/>
    <w:rsid w:val="0FFF78AE"/>
    <w:rsid w:val="13FE41EA"/>
    <w:rsid w:val="176E6765"/>
    <w:rsid w:val="19FBF4F8"/>
    <w:rsid w:val="19FC7108"/>
    <w:rsid w:val="1F9AD5A8"/>
    <w:rsid w:val="2EB71FCF"/>
    <w:rsid w:val="35F5AB0F"/>
    <w:rsid w:val="36BB3445"/>
    <w:rsid w:val="3ADBD3E9"/>
    <w:rsid w:val="3B9E678A"/>
    <w:rsid w:val="3BFBA8EF"/>
    <w:rsid w:val="3BFFBA7A"/>
    <w:rsid w:val="3D7FA0E5"/>
    <w:rsid w:val="3E35DDF8"/>
    <w:rsid w:val="3E3FEF1D"/>
    <w:rsid w:val="3EFB23B4"/>
    <w:rsid w:val="3F3BDB32"/>
    <w:rsid w:val="3F7FF50A"/>
    <w:rsid w:val="3FF55809"/>
    <w:rsid w:val="4779EB79"/>
    <w:rsid w:val="4CBB3721"/>
    <w:rsid w:val="4CDB6FDA"/>
    <w:rsid w:val="4DBFE738"/>
    <w:rsid w:val="4DD73043"/>
    <w:rsid w:val="4DFF454A"/>
    <w:rsid w:val="4E85F8B6"/>
    <w:rsid w:val="527B18D1"/>
    <w:rsid w:val="56D6690D"/>
    <w:rsid w:val="56FE1120"/>
    <w:rsid w:val="57E9688E"/>
    <w:rsid w:val="57EA9BB2"/>
    <w:rsid w:val="59D9B20E"/>
    <w:rsid w:val="5BFE900E"/>
    <w:rsid w:val="5CDF4966"/>
    <w:rsid w:val="5DF318FD"/>
    <w:rsid w:val="5E689F8A"/>
    <w:rsid w:val="5E7F2904"/>
    <w:rsid w:val="5EFB5D1F"/>
    <w:rsid w:val="5FDDC3AB"/>
    <w:rsid w:val="5FFBE3C9"/>
    <w:rsid w:val="629F1010"/>
    <w:rsid w:val="65E6DA9F"/>
    <w:rsid w:val="65FB1C48"/>
    <w:rsid w:val="67FADBC4"/>
    <w:rsid w:val="6B5FED1D"/>
    <w:rsid w:val="6BBB1FE0"/>
    <w:rsid w:val="6BC61F37"/>
    <w:rsid w:val="6BFB95B0"/>
    <w:rsid w:val="6CEC4354"/>
    <w:rsid w:val="6DFFC5E9"/>
    <w:rsid w:val="6E7FCC05"/>
    <w:rsid w:val="6EEB3FCF"/>
    <w:rsid w:val="6F37EBAC"/>
    <w:rsid w:val="6F3E44D5"/>
    <w:rsid w:val="6FDF44A1"/>
    <w:rsid w:val="6FFF5C5F"/>
    <w:rsid w:val="6FFF8037"/>
    <w:rsid w:val="717DA4B8"/>
    <w:rsid w:val="71FF0662"/>
    <w:rsid w:val="72F1C3EB"/>
    <w:rsid w:val="7337648F"/>
    <w:rsid w:val="74BF4992"/>
    <w:rsid w:val="75BD01B4"/>
    <w:rsid w:val="76FDF2FE"/>
    <w:rsid w:val="773D6316"/>
    <w:rsid w:val="773E1762"/>
    <w:rsid w:val="773E7E8B"/>
    <w:rsid w:val="773F24FD"/>
    <w:rsid w:val="775E8E66"/>
    <w:rsid w:val="77DA665B"/>
    <w:rsid w:val="787A1AB5"/>
    <w:rsid w:val="78FCEBB9"/>
    <w:rsid w:val="79EB4E3D"/>
    <w:rsid w:val="79FD5460"/>
    <w:rsid w:val="7AE7C6AC"/>
    <w:rsid w:val="7BFC8CEE"/>
    <w:rsid w:val="7BFF6C39"/>
    <w:rsid w:val="7D870E45"/>
    <w:rsid w:val="7DBBADCE"/>
    <w:rsid w:val="7DBF7FE7"/>
    <w:rsid w:val="7DEF4CAD"/>
    <w:rsid w:val="7DF966CD"/>
    <w:rsid w:val="7DFD496C"/>
    <w:rsid w:val="7EBF205A"/>
    <w:rsid w:val="7EDFF6B0"/>
    <w:rsid w:val="7EF35E7A"/>
    <w:rsid w:val="7EFAF514"/>
    <w:rsid w:val="7F7D46AA"/>
    <w:rsid w:val="7FABC8E0"/>
    <w:rsid w:val="7FBE8FA7"/>
    <w:rsid w:val="7FCF7E6E"/>
    <w:rsid w:val="7FD28E17"/>
    <w:rsid w:val="7FDC94BE"/>
    <w:rsid w:val="7FDF3798"/>
    <w:rsid w:val="7FDF54FF"/>
    <w:rsid w:val="7FEF8CF7"/>
    <w:rsid w:val="7FEFC13A"/>
    <w:rsid w:val="7FF00AFB"/>
    <w:rsid w:val="7FF645E0"/>
    <w:rsid w:val="7FFBF058"/>
    <w:rsid w:val="7FFCD0F3"/>
    <w:rsid w:val="7FFF1A0E"/>
    <w:rsid w:val="7FFF6866"/>
    <w:rsid w:val="8BEFA219"/>
    <w:rsid w:val="96B333AF"/>
    <w:rsid w:val="9FEF853D"/>
    <w:rsid w:val="A26F2397"/>
    <w:rsid w:val="A5AF7D5C"/>
    <w:rsid w:val="A723DCB1"/>
    <w:rsid w:val="AFE3CB4C"/>
    <w:rsid w:val="AFFFEA18"/>
    <w:rsid w:val="B57812B9"/>
    <w:rsid w:val="B7AEE5AA"/>
    <w:rsid w:val="B7F31D16"/>
    <w:rsid w:val="B7FBE817"/>
    <w:rsid w:val="B9D53AE3"/>
    <w:rsid w:val="BAFBA16B"/>
    <w:rsid w:val="BBEDC2DA"/>
    <w:rsid w:val="BCFD4693"/>
    <w:rsid w:val="BD7F96A7"/>
    <w:rsid w:val="BDFB2B47"/>
    <w:rsid w:val="BDFF4EC0"/>
    <w:rsid w:val="BF3DB6A4"/>
    <w:rsid w:val="BF74A411"/>
    <w:rsid w:val="BF7FEE0A"/>
    <w:rsid w:val="BFBFA472"/>
    <w:rsid w:val="BFCFE1A4"/>
    <w:rsid w:val="BFD79800"/>
    <w:rsid w:val="BFF3EF35"/>
    <w:rsid w:val="BFFE1CF5"/>
    <w:rsid w:val="BFFF67E3"/>
    <w:rsid w:val="C8F9458F"/>
    <w:rsid w:val="CEFD70C9"/>
    <w:rsid w:val="CFBEDA74"/>
    <w:rsid w:val="CFDBCFB1"/>
    <w:rsid w:val="D0F3993B"/>
    <w:rsid w:val="D73DA97B"/>
    <w:rsid w:val="D73F29AB"/>
    <w:rsid w:val="DBCAD8BD"/>
    <w:rsid w:val="DBDDBF97"/>
    <w:rsid w:val="DBEF4A37"/>
    <w:rsid w:val="DDA943DC"/>
    <w:rsid w:val="DDCC038D"/>
    <w:rsid w:val="DFEF042C"/>
    <w:rsid w:val="DFF40E28"/>
    <w:rsid w:val="DFFE0CD9"/>
    <w:rsid w:val="E4F7D9A6"/>
    <w:rsid w:val="E63B2EC7"/>
    <w:rsid w:val="EBBEAEDA"/>
    <w:rsid w:val="EBEFA881"/>
    <w:rsid w:val="EEF39D49"/>
    <w:rsid w:val="EEFA1852"/>
    <w:rsid w:val="EEFFF0AF"/>
    <w:rsid w:val="EF5FE3E1"/>
    <w:rsid w:val="EFAAA43C"/>
    <w:rsid w:val="EFEDDFF5"/>
    <w:rsid w:val="EFFDFF46"/>
    <w:rsid w:val="EFFF768D"/>
    <w:rsid w:val="F3AEE7D1"/>
    <w:rsid w:val="F43F910C"/>
    <w:rsid w:val="F5532F61"/>
    <w:rsid w:val="F5FFA5A5"/>
    <w:rsid w:val="F653AADD"/>
    <w:rsid w:val="F70FCC7D"/>
    <w:rsid w:val="F716CB63"/>
    <w:rsid w:val="F76FFDED"/>
    <w:rsid w:val="F7F665C2"/>
    <w:rsid w:val="F7FBE76A"/>
    <w:rsid w:val="F7FC0A61"/>
    <w:rsid w:val="F7FEAFAB"/>
    <w:rsid w:val="F7FF41A3"/>
    <w:rsid w:val="FABBA815"/>
    <w:rsid w:val="FADF653A"/>
    <w:rsid w:val="FB2F3A51"/>
    <w:rsid w:val="FB8F9BC4"/>
    <w:rsid w:val="FBEF32A2"/>
    <w:rsid w:val="FBF3E727"/>
    <w:rsid w:val="FBF7E9B5"/>
    <w:rsid w:val="FD7EB4AE"/>
    <w:rsid w:val="FD7F4536"/>
    <w:rsid w:val="FD9F58BC"/>
    <w:rsid w:val="FDEEFC63"/>
    <w:rsid w:val="FDF1105F"/>
    <w:rsid w:val="FDFA6A2D"/>
    <w:rsid w:val="FDFC004A"/>
    <w:rsid w:val="FE7F3E76"/>
    <w:rsid w:val="FE7FE94A"/>
    <w:rsid w:val="FE975AD0"/>
    <w:rsid w:val="FE9D11AF"/>
    <w:rsid w:val="FEFB5D8E"/>
    <w:rsid w:val="FEFD69FD"/>
    <w:rsid w:val="FF4BA57C"/>
    <w:rsid w:val="FF7F87E6"/>
    <w:rsid w:val="FFAD149A"/>
    <w:rsid w:val="FFBBB18D"/>
    <w:rsid w:val="FFBD37B4"/>
    <w:rsid w:val="FFBE2D95"/>
    <w:rsid w:val="FFD74E59"/>
    <w:rsid w:val="FFDE2C6C"/>
    <w:rsid w:val="FFF57A4D"/>
    <w:rsid w:val="FFF79A07"/>
    <w:rsid w:val="FFF844B5"/>
    <w:rsid w:val="FFFBAA6D"/>
    <w:rsid w:val="FFFD9B84"/>
    <w:rsid w:val="FFFDF3E4"/>
    <w:rsid w:val="FFFE1E0F"/>
    <w:rsid w:val="FFFF52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宋体" w:cs="Times New Roman"/>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footnote text"/>
    <w:basedOn w:val="1"/>
    <w:unhideWhenUsed/>
    <w:qFormat/>
    <w:uiPriority w:val="99"/>
    <w:pPr>
      <w:snapToGrid w:val="0"/>
      <w:jc w:val="left"/>
    </w:pPr>
    <w:rPr>
      <w:sz w:val="18"/>
    </w:rPr>
  </w:style>
  <w:style w:type="table" w:styleId="6">
    <w:name w:val="Table Grid"/>
    <w:basedOn w:val="5"/>
    <w:qFormat/>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正文文本 (2)"/>
    <w:basedOn w:val="1"/>
    <w:qFormat/>
    <w:uiPriority w:val="0"/>
    <w:pPr>
      <w:spacing w:line="571" w:lineRule="exact"/>
      <w:ind w:firstLine="480"/>
      <w:jc w:val="left"/>
    </w:pPr>
    <w:rPr>
      <w:rFonts w:ascii="宋体" w:hAnsi="宋体" w:eastAsia="宋体" w:cs="宋体"/>
      <w:sz w:val="30"/>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14.6666666666667</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2022-03-02T08:26:00Z</dcterms:created>
  <dc:creator>wangwq</dc:creator>
  <cp:lastModifiedBy>Admin</cp:lastModifiedBy>
  <cp:lastPrinted>2022-04-23T15:18:19Z</cp:lastPrinted>
  <dcterms:modified xsi:type="dcterms:W3CDTF">2022-04-28T17:06:31Z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